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E9302" w14:textId="13AA8840" w:rsidR="00D235B3" w:rsidRPr="00D235B3" w:rsidRDefault="00D235B3" w:rsidP="00F83A79">
      <w:pPr>
        <w:ind w:left="8222" w:firstLine="0"/>
        <w:contextualSpacing/>
        <w:rPr>
          <w:color w:val="000000"/>
          <w:szCs w:val="28"/>
        </w:rPr>
      </w:pPr>
      <w:r w:rsidRPr="00D235B3">
        <w:rPr>
          <w:color w:val="000000"/>
          <w:szCs w:val="28"/>
        </w:rPr>
        <w:t>ПРОЕКТ</w:t>
      </w:r>
    </w:p>
    <w:p w14:paraId="1039AE88" w14:textId="06B5A5B0" w:rsidR="00D235B3" w:rsidRDefault="00D235B3" w:rsidP="00F83A79">
      <w:pPr>
        <w:ind w:firstLine="0"/>
        <w:contextualSpacing/>
        <w:jc w:val="center"/>
        <w:rPr>
          <w:b/>
          <w:color w:val="000000"/>
          <w:szCs w:val="28"/>
        </w:rPr>
      </w:pPr>
    </w:p>
    <w:p w14:paraId="2FD30C45" w14:textId="69AA9515" w:rsidR="00C33020" w:rsidRPr="00C33020" w:rsidRDefault="00070718" w:rsidP="00C33020">
      <w:pPr>
        <w:contextualSpacing/>
        <w:jc w:val="center"/>
        <w:rPr>
          <w:rFonts w:eastAsia="Calibri" w:cs="Times New Roman"/>
          <w:b/>
          <w:bCs/>
          <w:szCs w:val="28"/>
        </w:rPr>
      </w:pPr>
      <w:r w:rsidRPr="00C33020">
        <w:rPr>
          <w:rFonts w:eastAsia="Calibri" w:cs="Times New Roman"/>
          <w:b/>
          <w:bCs/>
          <w:szCs w:val="28"/>
        </w:rPr>
        <w:t xml:space="preserve">ПОРЯДОК </w:t>
      </w:r>
    </w:p>
    <w:p w14:paraId="4E8A87A9" w14:textId="636799DD" w:rsidR="00C33020" w:rsidRPr="00C33020" w:rsidRDefault="00070718" w:rsidP="00C33020">
      <w:pPr>
        <w:contextualSpacing/>
        <w:jc w:val="center"/>
        <w:rPr>
          <w:rFonts w:eastAsia="Calibri" w:cs="Times New Roman"/>
          <w:szCs w:val="28"/>
        </w:rPr>
      </w:pPr>
      <w:r w:rsidRPr="00C33020">
        <w:rPr>
          <w:rFonts w:eastAsia="Calibri" w:cs="Times New Roman"/>
          <w:b/>
          <w:bCs/>
          <w:szCs w:val="28"/>
        </w:rPr>
        <w:t>ПРЕДОСТАВЛЕНИЯ И РАСПРЕДЕЛЕНИЯ СУБСИДИЙ</w:t>
      </w:r>
    </w:p>
    <w:p w14:paraId="34D47C56" w14:textId="5C153A4B" w:rsidR="00C33020" w:rsidRPr="00C33020" w:rsidRDefault="00070718" w:rsidP="00CA6E16">
      <w:pPr>
        <w:contextualSpacing/>
        <w:jc w:val="center"/>
        <w:rPr>
          <w:rFonts w:eastAsia="Calibri" w:cs="Times New Roman"/>
          <w:szCs w:val="28"/>
        </w:rPr>
      </w:pPr>
      <w:r w:rsidRPr="00C33020">
        <w:rPr>
          <w:rFonts w:eastAsia="Calibri" w:cs="Times New Roman"/>
          <w:b/>
          <w:bCs/>
          <w:szCs w:val="28"/>
        </w:rPr>
        <w:t>НА ОБЕСПЕЧЕНИЕ МЕРОПРИЯТИЙ ПО ПЕРЕСЕЛЕНИЮ ГРАЖДАН</w:t>
      </w:r>
      <w:r w:rsidR="00CA6E16">
        <w:rPr>
          <w:rFonts w:eastAsia="Calibri" w:cs="Times New Roman"/>
          <w:szCs w:val="28"/>
        </w:rPr>
        <w:t xml:space="preserve"> </w:t>
      </w:r>
      <w:r w:rsidRPr="00C33020">
        <w:rPr>
          <w:rFonts w:eastAsia="Calibri" w:cs="Times New Roman"/>
          <w:b/>
          <w:bCs/>
          <w:szCs w:val="28"/>
        </w:rPr>
        <w:t>ИЗ АВАРИЙНОГО ЖИЛИЩНОГО ФОНДА, В ТОМ ЧИСЛЕ ПЕРЕСЕЛЕНИЮ</w:t>
      </w:r>
      <w:r>
        <w:rPr>
          <w:rFonts w:eastAsia="Calibri" w:cs="Times New Roman"/>
          <w:szCs w:val="28"/>
        </w:rPr>
        <w:t xml:space="preserve"> </w:t>
      </w:r>
      <w:r w:rsidRPr="00C33020">
        <w:rPr>
          <w:rFonts w:eastAsia="Calibri" w:cs="Times New Roman"/>
          <w:b/>
          <w:bCs/>
          <w:szCs w:val="28"/>
        </w:rPr>
        <w:t>ГРАЖДАН ИЗ АВАРИЙНОГО ЖИЛИЩНОГО ФОНДА С УЧЕТОМ НЕОБХОДИМОСТИ</w:t>
      </w:r>
      <w:r>
        <w:rPr>
          <w:rFonts w:eastAsia="Calibri" w:cs="Times New Roman"/>
          <w:szCs w:val="28"/>
        </w:rPr>
        <w:t xml:space="preserve"> </w:t>
      </w:r>
      <w:r w:rsidRPr="00C33020">
        <w:rPr>
          <w:rFonts w:eastAsia="Calibri" w:cs="Times New Roman"/>
          <w:b/>
          <w:bCs/>
          <w:szCs w:val="28"/>
        </w:rPr>
        <w:t>РАЗВИТИЯ МАЛОЭТАЖНОГО ЖИЛИЩНОГО СТРОИТЕЛЬСТВА, ЗА СЧЕТ</w:t>
      </w:r>
      <w:r>
        <w:rPr>
          <w:rFonts w:eastAsia="Calibri" w:cs="Times New Roman"/>
          <w:szCs w:val="28"/>
        </w:rPr>
        <w:t xml:space="preserve"> </w:t>
      </w:r>
      <w:r w:rsidRPr="00C33020">
        <w:rPr>
          <w:rFonts w:eastAsia="Calibri" w:cs="Times New Roman"/>
          <w:b/>
          <w:bCs/>
          <w:szCs w:val="28"/>
        </w:rPr>
        <w:t>СРЕДСТВ, ПОСТУПИВШИХ ИЗ ФОНДА, И СРЕДСТВ ОБЛАСТНОГО БЮДЖЕТА</w:t>
      </w:r>
    </w:p>
    <w:p w14:paraId="56B2C017" w14:textId="77777777" w:rsidR="00C33020" w:rsidRPr="00C33020" w:rsidRDefault="00C33020" w:rsidP="00C33020">
      <w:pPr>
        <w:contextualSpacing/>
        <w:rPr>
          <w:rFonts w:eastAsia="Calibri" w:cs="Times New Roman"/>
          <w:szCs w:val="28"/>
        </w:rPr>
      </w:pPr>
      <w:r w:rsidRPr="00C33020">
        <w:rPr>
          <w:rFonts w:eastAsia="Calibri" w:cs="Times New Roman"/>
          <w:szCs w:val="28"/>
        </w:rPr>
        <w:t xml:space="preserve">  </w:t>
      </w:r>
    </w:p>
    <w:p w14:paraId="22800BD2"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1. Субсидии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из Фонда, и средств областного бюджета (далее - субсидии) предоставляются на переселение граждан из аварийного жилищного фонда путем приобретения жилых помещений в многоквартирных домах, строительства многоквартирных жилых домов, на выплату возмещения за жилое помещение в связи с изъятием земельного участка для муниципальных нужд в соответствии со статьей 32 Жилищного кодекса Российской Федерации. </w:t>
      </w:r>
    </w:p>
    <w:p w14:paraId="25524C7C"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2. Условия предоставления и расходования субсидий: </w:t>
      </w:r>
    </w:p>
    <w:p w14:paraId="614CF8AD"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наличие разработанной и утвержденной муниципальной программы; </w:t>
      </w:r>
    </w:p>
    <w:p w14:paraId="60ECF790"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соблюдение муниципальным образованием области условий предоставления финансовой поддержки за счет средств Фонда, установленных статьей 14 Федерального закона от 21 июля 2007 года № 185-ФЗ; </w:t>
      </w:r>
    </w:p>
    <w:p w14:paraId="7DE22CAB" w14:textId="105F8DD8"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наличие в местном бюджете ассигнований на реализацию мероприятий по расселению аварийного фонда с обеспечением уровня софинансирования: городским округом - не менее 15 процентов, городским поселением - не менее 10 процентов, сельским поселением </w:t>
      </w:r>
      <w:r w:rsidR="00AC0EE4">
        <w:rPr>
          <w:rFonts w:eastAsia="Calibri" w:cs="Times New Roman"/>
          <w:szCs w:val="28"/>
        </w:rPr>
        <w:t>–</w:t>
      </w:r>
      <w:bookmarkStart w:id="0" w:name="_GoBack"/>
      <w:bookmarkEnd w:id="0"/>
      <w:r w:rsidRPr="00C33020">
        <w:rPr>
          <w:rFonts w:eastAsia="Calibri" w:cs="Times New Roman"/>
          <w:szCs w:val="28"/>
        </w:rPr>
        <w:t xml:space="preserve"> не менее 5 процентов от доли софинансирования консолидированного бюджета; </w:t>
      </w:r>
    </w:p>
    <w:p w14:paraId="68D8A8C2" w14:textId="1B322553" w:rsidR="00C33020" w:rsidRPr="00C33020" w:rsidRDefault="00C33020" w:rsidP="00C33020">
      <w:pPr>
        <w:contextualSpacing/>
        <w:jc w:val="both"/>
        <w:rPr>
          <w:rFonts w:eastAsia="Calibri" w:cs="Times New Roman"/>
          <w:szCs w:val="28"/>
        </w:rPr>
      </w:pPr>
      <w:r w:rsidRPr="00C33020">
        <w:rPr>
          <w:rFonts w:eastAsia="Calibri" w:cs="Times New Roman"/>
          <w:szCs w:val="28"/>
        </w:rPr>
        <w:t>- наличие подписанного с муниципальным образованием области соглашения о предоставлении субсидии, форма которого ут</w:t>
      </w:r>
      <w:r w:rsidR="00636F1F">
        <w:rPr>
          <w:rFonts w:eastAsia="Calibri" w:cs="Times New Roman"/>
          <w:szCs w:val="28"/>
        </w:rPr>
        <w:t>верждается приказом министерств</w:t>
      </w:r>
      <w:r w:rsidRPr="00C33020">
        <w:rPr>
          <w:rFonts w:eastAsia="Calibri" w:cs="Times New Roman"/>
          <w:szCs w:val="28"/>
        </w:rPr>
        <w:t xml:space="preserve">а строительства Ярославской области в соответствии с условиями договора о предоставлении и использовании финансовой поддержки за счет средств Фонда на переселение граждан из аварийного жилищного фонда; </w:t>
      </w:r>
    </w:p>
    <w:p w14:paraId="5ACF186E"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соблюдение целевых направлений расходования субсидии; </w:t>
      </w:r>
    </w:p>
    <w:p w14:paraId="55E91AC3"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выполнение обязательств по достижению значений показателей результатов использования субсидии, по соблюдению графика выполнения работ согласно муниципальным контрактам на приобретение жилых помещений путем участия в долевом строительстве; </w:t>
      </w:r>
    </w:p>
    <w:p w14:paraId="6AB48CC5"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представление достоверной отчетности в сроки, установленные соглашением о предоставлении субсидии; </w:t>
      </w:r>
    </w:p>
    <w:p w14:paraId="2B894AEB"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lastRenderedPageBreak/>
        <w:t xml:space="preserve">- предоставление реестра государственных и (или) муниципальных контрактов на приобретение жилых помещений в многоквартирных домах, на строительство многоквартирных домов, заключение договоров о комплексном развитии территории жилой застройки, соглашений о предоставлении возмещения за изымаемое жилое помещение и иных типов контрактов в рамках реализации мероприятий по переселению граждан из аварийного жилищного фонда с предоставлением копий соответствующих контрактов; </w:t>
      </w:r>
    </w:p>
    <w:p w14:paraId="4D0BDBAF" w14:textId="3A1EF68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выполнение требований к срокам, порядку и формам представления отчетности об использовании субсидий, содержащихся в соглашении о предоставлении субсидии. Формы отчета об использовании субсидии и софинансировании расходов местных бюджетов на реализацию задачи и отчета о реализации задачи утверждаются приказом министерства строительства Ярославской области; </w:t>
      </w:r>
    </w:p>
    <w:p w14:paraId="5AF798E5"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финансовая поддержка Фонда и областного бюджета, при невыполнении муниципальным образованием области предусмотренных соглашением о предоставлении субсидии обязательств по достижению результатов использования субсидии, по соблюдению уровня софинансирования расходных обязательств из местного бюджета осуществляется в соответствии с разделом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w:t>
      </w:r>
    </w:p>
    <w:p w14:paraId="67B17E9A"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Администрации городских (сельских) поселений области вправе заключать с муниципальными районами области соглашение о передаче полномочий по реализации мероприятий Программы с соответствующим финансовым обеспечением в форме иных межбюджетных трансфертов. </w:t>
      </w:r>
    </w:p>
    <w:p w14:paraId="1F52CBFD"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3. Выделение субсидий за счет средств Фонда осуществляется в соответствии с Федеральным законом от 21 июля 2007 года № 185-ФЗ, решением правления Фонда от 29 марта 2023 года, выписка № 2-13/19 из протокола заседания правления Фонда № 2-13, «Об утверждении Порядка перечисления средств публично-правовой компании «Фонд развития территорий» в бюджет субъекта Российской Федерации, местные бюджеты на переселение граждан из аварийного жилищного фонда, признанного таковым до 01.01.2017, а также признанного таковым после 01.01.2017 применительно к положениям главы 6.5 Федерального закона «О Фонде содействия реформированию жилищно-коммунального хозяйства». </w:t>
      </w:r>
    </w:p>
    <w:p w14:paraId="46686DEB"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Субсидия на реализацию следующих этапов Программы перечисляется на оплату заключенных муниципальным образованием области контрактов (договоров) в размере фактически поступивших в текущем году средств Фонда </w:t>
      </w:r>
      <w:r w:rsidRPr="00C33020">
        <w:rPr>
          <w:rFonts w:eastAsia="Calibri" w:cs="Times New Roman"/>
          <w:szCs w:val="28"/>
        </w:rPr>
        <w:lastRenderedPageBreak/>
        <w:t xml:space="preserve">на реализацию мероприятий данного этапа и предусмотренных в текущем году средств областного бюджета на реализацию мероприятий данного этапа. </w:t>
      </w:r>
    </w:p>
    <w:p w14:paraId="2F4DB560"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В случае недостаточности средств для оплаты заключенных муниципальным образованием области контрактов (договоров) перечисление средств Фонда и средств областного бюджета осуществляется с отсрочкой платежа до поступления в Фонд субсидии на увеличение лимитов финансовой поддержки на год и доведения лимитов бюджетных обязательств по средствам областного бюджета на соответствующий финансовый год. </w:t>
      </w:r>
    </w:p>
    <w:p w14:paraId="5333F805"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Субсидия перечисляется в муниципальные образования области по мере заключения муниципальными образованиями области контрактов (договоров) на приобретение жилых помещений в многоквартирных домах, на строительство многоквартирных домов, на выкуп жилых помещений в рамках реализации Программы и предоставления реестра муниципальных контрактов. </w:t>
      </w:r>
    </w:p>
    <w:p w14:paraId="0BBEB0FC"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В случае отсутствия муниципальных контрактов при завершении финансового года средства областного бюджета подлежат перечислению в бюджеты муниципальных образований области до конца текущего года пропорционально доле средств Фонда, перечисленных в бюджеты муниципальных образований области в качестве первого транша и не обеспеченных заключенными муниципальными контрактами в текущем году. </w:t>
      </w:r>
    </w:p>
    <w:p w14:paraId="2D986CDE"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Органы местного самоуправления представляют в министерство строительства Ярославской области отчет об использовании субсидии в установленные соглашением о предоставлении субсидии сроки. </w:t>
      </w:r>
    </w:p>
    <w:p w14:paraId="4B9558C4"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4. Оценка степени достижения результата использования субсидии и эффективности использования субсидии осуществляется ответственным исполнителем ежегодно на основании отчетов, представленных органами местного самоуправления в соответствии с методическими рекомендациями Фонда. </w:t>
      </w:r>
    </w:p>
    <w:p w14:paraId="3B7B220F"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Степень достижения результата использования субсидии (R') рассчитывается по формуле: </w:t>
      </w:r>
    </w:p>
    <w:p w14:paraId="7DD65E88"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w:t>
      </w:r>
      <w:r w:rsidRPr="00C33020">
        <w:rPr>
          <w:rFonts w:ascii="Calibri" w:eastAsia="Calibri" w:hAnsi="Calibri" w:cs="Times New Roman"/>
          <w:noProof/>
          <w:position w:val="-27"/>
          <w:sz w:val="22"/>
          <w:lang w:eastAsia="ru-RU"/>
        </w:rPr>
        <w:drawing>
          <wp:inline distT="0" distB="0" distL="0" distR="0" wp14:anchorId="507201B8" wp14:editId="40B8C4E3">
            <wp:extent cx="3916680" cy="5048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16680" cy="504825"/>
                    </a:xfrm>
                    <a:prstGeom prst="rect">
                      <a:avLst/>
                    </a:prstGeom>
                    <a:noFill/>
                    <a:ln>
                      <a:noFill/>
                    </a:ln>
                  </pic:spPr>
                </pic:pic>
              </a:graphicData>
            </a:graphic>
          </wp:inline>
        </w:drawing>
      </w:r>
      <w:r w:rsidRPr="00C33020">
        <w:rPr>
          <w:rFonts w:eastAsia="Calibri" w:cs="Times New Roman"/>
          <w:szCs w:val="28"/>
        </w:rPr>
        <w:t xml:space="preserve">  </w:t>
      </w:r>
    </w:p>
    <w:p w14:paraId="23F57361"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где: </w:t>
      </w:r>
    </w:p>
    <w:p w14:paraId="1A582057"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X1(2) тек. - текущее значение показателя; </w:t>
      </w:r>
    </w:p>
    <w:p w14:paraId="41DD63C0"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X1(2) план. - плановое значение показателя. </w:t>
      </w:r>
    </w:p>
    <w:p w14:paraId="654894CA"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При значении показателя результата использования субсидии 95 процентов и более результат использования субсидии признается высокой, при значении от 90 до 95 процентов - средней, при значении менее 90 процентов - низкой. </w:t>
      </w:r>
    </w:p>
    <w:p w14:paraId="2C80F3A2"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Показатель эффективности использования субсидии (R) рассчитывается по формуле: </w:t>
      </w:r>
    </w:p>
    <w:p w14:paraId="6A0F570E"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R = R' / (Fтек. / Fплан.) x 100%, </w:t>
      </w:r>
    </w:p>
    <w:p w14:paraId="698B9FAE"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где: </w:t>
      </w:r>
    </w:p>
    <w:p w14:paraId="2C79D01F"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R' - показатель результата использования субсидии; </w:t>
      </w:r>
    </w:p>
    <w:p w14:paraId="5831FD0B"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Fплан. - плановая сумма финансирования по Программе; </w:t>
      </w:r>
    </w:p>
    <w:p w14:paraId="10C5694A"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lastRenderedPageBreak/>
        <w:t xml:space="preserve">Fтек. - сумма финансирования на текущую дату. </w:t>
      </w:r>
    </w:p>
    <w:p w14:paraId="0064EAA4"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При значении показателя эффективности использования субсидии 95 процентов и более эффективность использования субсидии за счет средств Фонда признается высокой, при значении от 90 до 95 процентов - средней, при значении менее 90 процентов - низкой. </w:t>
      </w:r>
    </w:p>
    <w:p w14:paraId="3A8A563E"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При расчете эффективности использования субсидии применяются следующие показатели результата использования субсидии: </w:t>
      </w:r>
    </w:p>
    <w:p w14:paraId="681B58FF"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w:t>
      </w:r>
    </w:p>
    <w:tbl>
      <w:tblPr>
        <w:tblW w:w="9045" w:type="dxa"/>
        <w:tblInd w:w="15" w:type="dxa"/>
        <w:tblCellMar>
          <w:left w:w="0" w:type="dxa"/>
          <w:right w:w="0" w:type="dxa"/>
        </w:tblCellMar>
        <w:tblLook w:val="04A0" w:firstRow="1" w:lastRow="0" w:firstColumn="1" w:lastColumn="0" w:noHBand="0" w:noVBand="1"/>
      </w:tblPr>
      <w:tblGrid>
        <w:gridCol w:w="286"/>
        <w:gridCol w:w="2669"/>
        <w:gridCol w:w="1317"/>
        <w:gridCol w:w="1591"/>
        <w:gridCol w:w="1591"/>
        <w:gridCol w:w="1591"/>
      </w:tblGrid>
      <w:tr w:rsidR="00C33020" w:rsidRPr="00C33020" w14:paraId="5DFC956B" w14:textId="77777777" w:rsidTr="00F05305">
        <w:tc>
          <w:tcPr>
            <w:tcW w:w="0" w:type="auto"/>
            <w:tcBorders>
              <w:top w:val="single" w:sz="6" w:space="0" w:color="000000"/>
              <w:left w:val="single" w:sz="6" w:space="0" w:color="000000"/>
              <w:bottom w:val="single" w:sz="6" w:space="0" w:color="000000"/>
              <w:right w:val="single" w:sz="6" w:space="0" w:color="000000"/>
            </w:tcBorders>
            <w:hideMark/>
          </w:tcPr>
          <w:p w14:paraId="7C321A01" w14:textId="77777777" w:rsidR="00C33020" w:rsidRPr="00C33020" w:rsidRDefault="00C33020" w:rsidP="00C33020">
            <w:pPr>
              <w:ind w:firstLine="0"/>
              <w:contextualSpacing/>
              <w:jc w:val="center"/>
              <w:rPr>
                <w:rFonts w:eastAsia="Calibri" w:cs="Times New Roman"/>
                <w:sz w:val="20"/>
                <w:szCs w:val="20"/>
              </w:rPr>
            </w:pPr>
            <w:r w:rsidRPr="00C33020">
              <w:rPr>
                <w:rFonts w:eastAsia="Calibri" w:cs="Times New Roman"/>
                <w:sz w:val="20"/>
                <w:szCs w:val="20"/>
              </w:rPr>
              <w:t>№</w:t>
            </w:r>
          </w:p>
          <w:p w14:paraId="291CA3BB" w14:textId="77777777" w:rsidR="00C33020" w:rsidRPr="00C33020" w:rsidRDefault="00C33020" w:rsidP="00C33020">
            <w:pPr>
              <w:ind w:firstLine="0"/>
              <w:contextualSpacing/>
              <w:jc w:val="center"/>
              <w:rPr>
                <w:rFonts w:eastAsia="Calibri" w:cs="Times New Roman"/>
                <w:sz w:val="20"/>
                <w:szCs w:val="20"/>
              </w:rPr>
            </w:pPr>
            <w:r w:rsidRPr="00C33020">
              <w:rPr>
                <w:rFonts w:eastAsia="Calibri" w:cs="Times New Roman"/>
                <w:sz w:val="20"/>
                <w:szCs w:val="20"/>
              </w:rPr>
              <w:t>п/п</w:t>
            </w:r>
          </w:p>
        </w:tc>
        <w:tc>
          <w:tcPr>
            <w:tcW w:w="2669" w:type="dxa"/>
            <w:tcBorders>
              <w:top w:val="single" w:sz="6" w:space="0" w:color="000000"/>
              <w:left w:val="single" w:sz="6" w:space="0" w:color="000000"/>
              <w:bottom w:val="single" w:sz="6" w:space="0" w:color="000000"/>
              <w:right w:val="single" w:sz="6" w:space="0" w:color="000000"/>
            </w:tcBorders>
            <w:hideMark/>
          </w:tcPr>
          <w:p w14:paraId="4AC21114" w14:textId="77777777" w:rsidR="00C33020" w:rsidRPr="00C33020" w:rsidRDefault="00C33020" w:rsidP="00C33020">
            <w:pPr>
              <w:ind w:firstLine="0"/>
              <w:contextualSpacing/>
              <w:jc w:val="center"/>
              <w:rPr>
                <w:rFonts w:eastAsia="Calibri" w:cs="Times New Roman"/>
                <w:sz w:val="20"/>
                <w:szCs w:val="20"/>
              </w:rPr>
            </w:pPr>
            <w:r w:rsidRPr="00C33020">
              <w:rPr>
                <w:rFonts w:eastAsia="Calibri" w:cs="Times New Roman"/>
                <w:sz w:val="20"/>
                <w:szCs w:val="20"/>
              </w:rPr>
              <w:t>Наименование показателя результата использования субсидии</w:t>
            </w:r>
          </w:p>
        </w:tc>
        <w:tc>
          <w:tcPr>
            <w:tcW w:w="1317" w:type="dxa"/>
            <w:tcBorders>
              <w:top w:val="single" w:sz="6" w:space="0" w:color="000000"/>
              <w:left w:val="single" w:sz="6" w:space="0" w:color="000000"/>
              <w:bottom w:val="single" w:sz="6" w:space="0" w:color="000000"/>
              <w:right w:val="single" w:sz="6" w:space="0" w:color="000000"/>
            </w:tcBorders>
            <w:hideMark/>
          </w:tcPr>
          <w:p w14:paraId="1216056F" w14:textId="77777777" w:rsidR="00C33020" w:rsidRPr="00C33020" w:rsidRDefault="00C33020" w:rsidP="00C33020">
            <w:pPr>
              <w:ind w:firstLine="0"/>
              <w:contextualSpacing/>
              <w:jc w:val="center"/>
              <w:rPr>
                <w:rFonts w:eastAsia="Calibri" w:cs="Times New Roman"/>
                <w:sz w:val="20"/>
                <w:szCs w:val="20"/>
              </w:rPr>
            </w:pPr>
            <w:r w:rsidRPr="00C33020">
              <w:rPr>
                <w:rFonts w:eastAsia="Calibri" w:cs="Times New Roman"/>
                <w:sz w:val="20"/>
                <w:szCs w:val="20"/>
              </w:rPr>
              <w:t>Значение целевого показателя в 2019 году</w:t>
            </w:r>
          </w:p>
        </w:tc>
        <w:tc>
          <w:tcPr>
            <w:tcW w:w="0" w:type="auto"/>
            <w:tcBorders>
              <w:top w:val="single" w:sz="6" w:space="0" w:color="000000"/>
              <w:left w:val="single" w:sz="6" w:space="0" w:color="000000"/>
              <w:bottom w:val="single" w:sz="6" w:space="0" w:color="000000"/>
              <w:right w:val="single" w:sz="6" w:space="0" w:color="000000"/>
            </w:tcBorders>
            <w:hideMark/>
          </w:tcPr>
          <w:p w14:paraId="71DB2CA4" w14:textId="77777777" w:rsidR="00C33020" w:rsidRPr="00C33020" w:rsidRDefault="00C33020" w:rsidP="00C33020">
            <w:pPr>
              <w:ind w:firstLine="0"/>
              <w:contextualSpacing/>
              <w:jc w:val="center"/>
              <w:rPr>
                <w:rFonts w:eastAsia="Calibri" w:cs="Times New Roman"/>
                <w:sz w:val="20"/>
                <w:szCs w:val="20"/>
              </w:rPr>
            </w:pPr>
            <w:r w:rsidRPr="00C33020">
              <w:rPr>
                <w:rFonts w:eastAsia="Calibri" w:cs="Times New Roman"/>
                <w:sz w:val="20"/>
                <w:szCs w:val="20"/>
              </w:rPr>
              <w:t>Значение целевого показателя в 2020 году</w:t>
            </w:r>
          </w:p>
        </w:tc>
        <w:tc>
          <w:tcPr>
            <w:tcW w:w="0" w:type="auto"/>
            <w:tcBorders>
              <w:top w:val="single" w:sz="6" w:space="0" w:color="000000"/>
              <w:left w:val="single" w:sz="6" w:space="0" w:color="000000"/>
              <w:bottom w:val="single" w:sz="6" w:space="0" w:color="000000"/>
              <w:right w:val="single" w:sz="6" w:space="0" w:color="000000"/>
            </w:tcBorders>
            <w:hideMark/>
          </w:tcPr>
          <w:p w14:paraId="004C8E10" w14:textId="77777777" w:rsidR="00C33020" w:rsidRPr="00C33020" w:rsidRDefault="00C33020" w:rsidP="00C33020">
            <w:pPr>
              <w:ind w:firstLine="0"/>
              <w:contextualSpacing/>
              <w:jc w:val="center"/>
              <w:rPr>
                <w:rFonts w:eastAsia="Calibri" w:cs="Times New Roman"/>
                <w:sz w:val="20"/>
                <w:szCs w:val="20"/>
              </w:rPr>
            </w:pPr>
            <w:r w:rsidRPr="00C33020">
              <w:rPr>
                <w:rFonts w:eastAsia="Calibri" w:cs="Times New Roman"/>
                <w:sz w:val="20"/>
                <w:szCs w:val="20"/>
              </w:rPr>
              <w:t>Значение целевого показателя в 2021 году</w:t>
            </w:r>
          </w:p>
        </w:tc>
        <w:tc>
          <w:tcPr>
            <w:tcW w:w="0" w:type="auto"/>
            <w:tcBorders>
              <w:top w:val="single" w:sz="6" w:space="0" w:color="000000"/>
              <w:left w:val="single" w:sz="6" w:space="0" w:color="000000"/>
              <w:bottom w:val="single" w:sz="6" w:space="0" w:color="000000"/>
              <w:right w:val="single" w:sz="6" w:space="0" w:color="000000"/>
            </w:tcBorders>
            <w:hideMark/>
          </w:tcPr>
          <w:p w14:paraId="13F2A04E" w14:textId="77777777" w:rsidR="00C33020" w:rsidRPr="00C33020" w:rsidRDefault="00C33020" w:rsidP="00C33020">
            <w:pPr>
              <w:ind w:firstLine="0"/>
              <w:contextualSpacing/>
              <w:jc w:val="center"/>
              <w:rPr>
                <w:rFonts w:eastAsia="Calibri" w:cs="Times New Roman"/>
                <w:sz w:val="20"/>
                <w:szCs w:val="20"/>
              </w:rPr>
            </w:pPr>
            <w:r w:rsidRPr="00C33020">
              <w:rPr>
                <w:rFonts w:eastAsia="Calibri" w:cs="Times New Roman"/>
                <w:sz w:val="20"/>
                <w:szCs w:val="20"/>
              </w:rPr>
              <w:t>Значение целевого показателя в 2022 году</w:t>
            </w:r>
          </w:p>
        </w:tc>
      </w:tr>
      <w:tr w:rsidR="00C33020" w:rsidRPr="00C33020" w14:paraId="0CE2D2A3" w14:textId="77777777" w:rsidTr="00F05305">
        <w:tc>
          <w:tcPr>
            <w:tcW w:w="0" w:type="auto"/>
            <w:tcBorders>
              <w:top w:val="single" w:sz="6" w:space="0" w:color="000000"/>
              <w:left w:val="single" w:sz="6" w:space="0" w:color="000000"/>
              <w:bottom w:val="single" w:sz="6" w:space="0" w:color="000000"/>
              <w:right w:val="single" w:sz="6" w:space="0" w:color="000000"/>
            </w:tcBorders>
            <w:hideMark/>
          </w:tcPr>
          <w:p w14:paraId="3DFD2436" w14:textId="77777777" w:rsidR="00C33020" w:rsidRPr="00C33020" w:rsidRDefault="00C33020" w:rsidP="00C33020">
            <w:pPr>
              <w:ind w:firstLine="0"/>
              <w:contextualSpacing/>
              <w:jc w:val="center"/>
              <w:rPr>
                <w:rFonts w:eastAsia="Calibri" w:cs="Times New Roman"/>
                <w:sz w:val="20"/>
                <w:szCs w:val="20"/>
              </w:rPr>
            </w:pPr>
            <w:r w:rsidRPr="00C33020">
              <w:rPr>
                <w:rFonts w:eastAsia="Calibri" w:cs="Times New Roman"/>
                <w:sz w:val="20"/>
                <w:szCs w:val="20"/>
              </w:rPr>
              <w:t>1</w:t>
            </w:r>
          </w:p>
        </w:tc>
        <w:tc>
          <w:tcPr>
            <w:tcW w:w="2669" w:type="dxa"/>
            <w:tcBorders>
              <w:top w:val="single" w:sz="6" w:space="0" w:color="000000"/>
              <w:left w:val="single" w:sz="6" w:space="0" w:color="000000"/>
              <w:bottom w:val="single" w:sz="6" w:space="0" w:color="000000"/>
              <w:right w:val="single" w:sz="6" w:space="0" w:color="000000"/>
            </w:tcBorders>
            <w:hideMark/>
          </w:tcPr>
          <w:p w14:paraId="3362FEB7" w14:textId="77777777" w:rsidR="00C33020" w:rsidRPr="00C33020" w:rsidRDefault="00C33020" w:rsidP="00C33020">
            <w:pPr>
              <w:ind w:firstLine="0"/>
              <w:contextualSpacing/>
              <w:rPr>
                <w:rFonts w:eastAsia="Calibri" w:cs="Times New Roman"/>
                <w:sz w:val="20"/>
                <w:szCs w:val="20"/>
              </w:rPr>
            </w:pPr>
            <w:r w:rsidRPr="00C33020">
              <w:rPr>
                <w:rFonts w:eastAsia="Calibri" w:cs="Times New Roman"/>
                <w:sz w:val="20"/>
                <w:szCs w:val="20"/>
              </w:rPr>
              <w:t>Площадь аварийного жилищного фонда, расселенного в результате реализации Программы, кв. м</w:t>
            </w:r>
          </w:p>
        </w:tc>
        <w:tc>
          <w:tcPr>
            <w:tcW w:w="1317" w:type="dxa"/>
            <w:tcBorders>
              <w:top w:val="single" w:sz="6" w:space="0" w:color="000000"/>
              <w:left w:val="single" w:sz="6" w:space="0" w:color="000000"/>
              <w:bottom w:val="single" w:sz="6" w:space="0" w:color="000000"/>
              <w:right w:val="single" w:sz="6" w:space="0" w:color="000000"/>
            </w:tcBorders>
            <w:hideMark/>
          </w:tcPr>
          <w:p w14:paraId="77D276D0" w14:textId="77777777" w:rsidR="00C33020" w:rsidRPr="00C33020" w:rsidRDefault="00C33020" w:rsidP="00C33020">
            <w:pPr>
              <w:contextualSpacing/>
              <w:jc w:val="center"/>
              <w:rPr>
                <w:rFonts w:eastAsia="Calibri" w:cs="Times New Roman"/>
                <w:sz w:val="20"/>
                <w:szCs w:val="20"/>
              </w:rPr>
            </w:pPr>
            <w:r w:rsidRPr="00C33020">
              <w:rPr>
                <w:rFonts w:eastAsia="Calibri" w:cs="Times New Roman"/>
                <w:sz w:val="20"/>
                <w:szCs w:val="20"/>
              </w:rPr>
              <w:t>1280</w:t>
            </w:r>
          </w:p>
        </w:tc>
        <w:tc>
          <w:tcPr>
            <w:tcW w:w="0" w:type="auto"/>
            <w:tcBorders>
              <w:top w:val="single" w:sz="6" w:space="0" w:color="000000"/>
              <w:left w:val="single" w:sz="6" w:space="0" w:color="000000"/>
              <w:bottom w:val="single" w:sz="6" w:space="0" w:color="000000"/>
              <w:right w:val="single" w:sz="6" w:space="0" w:color="000000"/>
            </w:tcBorders>
            <w:hideMark/>
          </w:tcPr>
          <w:p w14:paraId="6024FC93" w14:textId="77777777" w:rsidR="00C33020" w:rsidRPr="00C33020" w:rsidRDefault="00C33020" w:rsidP="00C33020">
            <w:pPr>
              <w:contextualSpacing/>
              <w:jc w:val="center"/>
              <w:rPr>
                <w:rFonts w:eastAsia="Calibri" w:cs="Times New Roman"/>
                <w:sz w:val="20"/>
                <w:szCs w:val="20"/>
              </w:rPr>
            </w:pPr>
            <w:r w:rsidRPr="00C33020">
              <w:rPr>
                <w:rFonts w:eastAsia="Calibri" w:cs="Times New Roman"/>
                <w:sz w:val="20"/>
                <w:szCs w:val="20"/>
              </w:rPr>
              <w:t>9360</w:t>
            </w:r>
          </w:p>
        </w:tc>
        <w:tc>
          <w:tcPr>
            <w:tcW w:w="0" w:type="auto"/>
            <w:tcBorders>
              <w:top w:val="single" w:sz="6" w:space="0" w:color="000000"/>
              <w:left w:val="single" w:sz="6" w:space="0" w:color="000000"/>
              <w:bottom w:val="single" w:sz="6" w:space="0" w:color="000000"/>
              <w:right w:val="single" w:sz="6" w:space="0" w:color="000000"/>
            </w:tcBorders>
            <w:hideMark/>
          </w:tcPr>
          <w:p w14:paraId="05FA8CB7" w14:textId="54092DEC" w:rsidR="00C33020" w:rsidRPr="00C33020" w:rsidRDefault="00C33020" w:rsidP="00C33020">
            <w:pPr>
              <w:contextualSpacing/>
              <w:jc w:val="center"/>
              <w:rPr>
                <w:rFonts w:eastAsia="Calibri" w:cs="Times New Roman"/>
                <w:sz w:val="20"/>
                <w:szCs w:val="20"/>
              </w:rPr>
            </w:pPr>
            <w:r w:rsidRPr="006641FA">
              <w:rPr>
                <w:rFonts w:eastAsia="Calibri" w:cs="Times New Roman"/>
                <w:sz w:val="20"/>
                <w:szCs w:val="20"/>
              </w:rPr>
              <w:t>19200</w:t>
            </w:r>
          </w:p>
        </w:tc>
        <w:tc>
          <w:tcPr>
            <w:tcW w:w="0" w:type="auto"/>
            <w:tcBorders>
              <w:top w:val="single" w:sz="6" w:space="0" w:color="000000"/>
              <w:left w:val="single" w:sz="6" w:space="0" w:color="000000"/>
              <w:bottom w:val="single" w:sz="6" w:space="0" w:color="000000"/>
              <w:right w:val="single" w:sz="6" w:space="0" w:color="000000"/>
            </w:tcBorders>
            <w:hideMark/>
          </w:tcPr>
          <w:p w14:paraId="77F4FEE0" w14:textId="52F46DB5" w:rsidR="00C33020" w:rsidRPr="00C33020" w:rsidRDefault="00C33020" w:rsidP="00C33020">
            <w:pPr>
              <w:contextualSpacing/>
              <w:jc w:val="center"/>
              <w:rPr>
                <w:rFonts w:eastAsia="Calibri" w:cs="Times New Roman"/>
                <w:sz w:val="20"/>
                <w:szCs w:val="20"/>
              </w:rPr>
            </w:pPr>
            <w:r w:rsidRPr="006641FA">
              <w:rPr>
                <w:rFonts w:eastAsia="Calibri" w:cs="Times New Roman"/>
                <w:sz w:val="20"/>
                <w:szCs w:val="20"/>
              </w:rPr>
              <w:t>14790</w:t>
            </w:r>
          </w:p>
        </w:tc>
      </w:tr>
      <w:tr w:rsidR="00C33020" w:rsidRPr="00C33020" w14:paraId="0B8F2C14" w14:textId="77777777" w:rsidTr="00F05305">
        <w:tc>
          <w:tcPr>
            <w:tcW w:w="0" w:type="auto"/>
            <w:tcBorders>
              <w:top w:val="single" w:sz="6" w:space="0" w:color="000000"/>
              <w:left w:val="single" w:sz="6" w:space="0" w:color="000000"/>
              <w:bottom w:val="single" w:sz="6" w:space="0" w:color="000000"/>
              <w:right w:val="single" w:sz="6" w:space="0" w:color="000000"/>
            </w:tcBorders>
            <w:hideMark/>
          </w:tcPr>
          <w:p w14:paraId="74B7630C" w14:textId="77777777" w:rsidR="00C33020" w:rsidRPr="00C33020" w:rsidRDefault="00C33020" w:rsidP="00C33020">
            <w:pPr>
              <w:ind w:firstLine="0"/>
              <w:contextualSpacing/>
              <w:jc w:val="center"/>
              <w:rPr>
                <w:rFonts w:eastAsia="Calibri" w:cs="Times New Roman"/>
                <w:sz w:val="20"/>
                <w:szCs w:val="20"/>
              </w:rPr>
            </w:pPr>
            <w:r w:rsidRPr="00C33020">
              <w:rPr>
                <w:rFonts w:eastAsia="Calibri" w:cs="Times New Roman"/>
                <w:sz w:val="20"/>
                <w:szCs w:val="20"/>
              </w:rPr>
              <w:t>2</w:t>
            </w:r>
          </w:p>
        </w:tc>
        <w:tc>
          <w:tcPr>
            <w:tcW w:w="2669" w:type="dxa"/>
            <w:tcBorders>
              <w:top w:val="single" w:sz="6" w:space="0" w:color="000000"/>
              <w:left w:val="single" w:sz="6" w:space="0" w:color="000000"/>
              <w:bottom w:val="single" w:sz="6" w:space="0" w:color="000000"/>
              <w:right w:val="single" w:sz="6" w:space="0" w:color="000000"/>
            </w:tcBorders>
            <w:hideMark/>
          </w:tcPr>
          <w:p w14:paraId="3A5FA72A" w14:textId="77777777" w:rsidR="00C33020" w:rsidRPr="00C33020" w:rsidRDefault="00C33020" w:rsidP="00C33020">
            <w:pPr>
              <w:ind w:firstLine="0"/>
              <w:contextualSpacing/>
              <w:rPr>
                <w:rFonts w:eastAsia="Calibri" w:cs="Times New Roman"/>
                <w:sz w:val="20"/>
                <w:szCs w:val="20"/>
              </w:rPr>
            </w:pPr>
            <w:r w:rsidRPr="00C33020">
              <w:rPr>
                <w:rFonts w:eastAsia="Calibri" w:cs="Times New Roman"/>
                <w:sz w:val="20"/>
                <w:szCs w:val="20"/>
              </w:rPr>
              <w:t>Количество граждан, расселенных в результате реализации Программы, чел.</w:t>
            </w:r>
          </w:p>
        </w:tc>
        <w:tc>
          <w:tcPr>
            <w:tcW w:w="1317" w:type="dxa"/>
            <w:tcBorders>
              <w:top w:val="single" w:sz="6" w:space="0" w:color="000000"/>
              <w:left w:val="single" w:sz="6" w:space="0" w:color="000000"/>
              <w:bottom w:val="single" w:sz="6" w:space="0" w:color="000000"/>
              <w:right w:val="single" w:sz="6" w:space="0" w:color="000000"/>
            </w:tcBorders>
            <w:hideMark/>
          </w:tcPr>
          <w:p w14:paraId="029CCE01" w14:textId="77777777" w:rsidR="00C33020" w:rsidRPr="00C33020" w:rsidRDefault="00C33020" w:rsidP="00C33020">
            <w:pPr>
              <w:contextualSpacing/>
              <w:jc w:val="center"/>
              <w:rPr>
                <w:rFonts w:eastAsia="Calibri" w:cs="Times New Roman"/>
                <w:sz w:val="20"/>
                <w:szCs w:val="20"/>
              </w:rPr>
            </w:pPr>
            <w:r w:rsidRPr="00C33020">
              <w:rPr>
                <w:rFonts w:eastAsia="Calibri" w:cs="Times New Roman"/>
                <w:sz w:val="20"/>
                <w:szCs w:val="20"/>
              </w:rPr>
              <w:t>80</w:t>
            </w:r>
          </w:p>
        </w:tc>
        <w:tc>
          <w:tcPr>
            <w:tcW w:w="0" w:type="auto"/>
            <w:tcBorders>
              <w:top w:val="single" w:sz="6" w:space="0" w:color="000000"/>
              <w:left w:val="single" w:sz="6" w:space="0" w:color="000000"/>
              <w:bottom w:val="single" w:sz="6" w:space="0" w:color="000000"/>
              <w:right w:val="single" w:sz="6" w:space="0" w:color="000000"/>
            </w:tcBorders>
            <w:hideMark/>
          </w:tcPr>
          <w:p w14:paraId="5497A460" w14:textId="77777777" w:rsidR="00C33020" w:rsidRPr="00C33020" w:rsidRDefault="00C33020" w:rsidP="00C33020">
            <w:pPr>
              <w:contextualSpacing/>
              <w:jc w:val="center"/>
              <w:rPr>
                <w:rFonts w:eastAsia="Calibri" w:cs="Times New Roman"/>
                <w:sz w:val="20"/>
                <w:szCs w:val="20"/>
              </w:rPr>
            </w:pPr>
            <w:r w:rsidRPr="00C33020">
              <w:rPr>
                <w:rFonts w:eastAsia="Calibri" w:cs="Times New Roman"/>
                <w:sz w:val="20"/>
                <w:szCs w:val="20"/>
              </w:rPr>
              <w:t>520</w:t>
            </w:r>
          </w:p>
        </w:tc>
        <w:tc>
          <w:tcPr>
            <w:tcW w:w="0" w:type="auto"/>
            <w:tcBorders>
              <w:top w:val="single" w:sz="6" w:space="0" w:color="000000"/>
              <w:left w:val="single" w:sz="6" w:space="0" w:color="000000"/>
              <w:bottom w:val="single" w:sz="6" w:space="0" w:color="000000"/>
              <w:right w:val="single" w:sz="6" w:space="0" w:color="000000"/>
            </w:tcBorders>
            <w:hideMark/>
          </w:tcPr>
          <w:p w14:paraId="5889D091" w14:textId="7D6DB3C7" w:rsidR="00C33020" w:rsidRPr="00C33020" w:rsidRDefault="00C33020" w:rsidP="00C33020">
            <w:pPr>
              <w:contextualSpacing/>
              <w:jc w:val="center"/>
              <w:rPr>
                <w:rFonts w:eastAsia="Calibri" w:cs="Times New Roman"/>
                <w:sz w:val="20"/>
                <w:szCs w:val="20"/>
              </w:rPr>
            </w:pPr>
            <w:r w:rsidRPr="00C33020">
              <w:rPr>
                <w:rFonts w:eastAsia="Calibri" w:cs="Times New Roman"/>
                <w:sz w:val="20"/>
                <w:szCs w:val="20"/>
              </w:rPr>
              <w:t>1</w:t>
            </w:r>
            <w:r>
              <w:rPr>
                <w:rFonts w:eastAsia="Calibri" w:cs="Times New Roman"/>
                <w:sz w:val="20"/>
                <w:szCs w:val="20"/>
              </w:rPr>
              <w:t>0</w:t>
            </w:r>
            <w:r w:rsidRPr="00C33020">
              <w:rPr>
                <w:rFonts w:eastAsia="Calibri" w:cs="Times New Roman"/>
                <w:sz w:val="20"/>
                <w:szCs w:val="20"/>
              </w:rPr>
              <w:t>00</w:t>
            </w:r>
          </w:p>
        </w:tc>
        <w:tc>
          <w:tcPr>
            <w:tcW w:w="0" w:type="auto"/>
            <w:tcBorders>
              <w:top w:val="single" w:sz="6" w:space="0" w:color="000000"/>
              <w:left w:val="single" w:sz="6" w:space="0" w:color="000000"/>
              <w:bottom w:val="single" w:sz="6" w:space="0" w:color="000000"/>
              <w:right w:val="single" w:sz="6" w:space="0" w:color="000000"/>
            </w:tcBorders>
            <w:hideMark/>
          </w:tcPr>
          <w:p w14:paraId="3A13256A" w14:textId="08290896" w:rsidR="00C33020" w:rsidRPr="00C33020" w:rsidRDefault="00C33020" w:rsidP="00C33020">
            <w:pPr>
              <w:contextualSpacing/>
              <w:jc w:val="center"/>
              <w:rPr>
                <w:rFonts w:eastAsia="Calibri" w:cs="Times New Roman"/>
                <w:sz w:val="20"/>
                <w:szCs w:val="20"/>
              </w:rPr>
            </w:pPr>
            <w:r w:rsidRPr="006641FA">
              <w:rPr>
                <w:rFonts w:eastAsia="Calibri" w:cs="Times New Roman"/>
                <w:sz w:val="20"/>
                <w:szCs w:val="20"/>
              </w:rPr>
              <w:t>780</w:t>
            </w:r>
          </w:p>
        </w:tc>
      </w:tr>
    </w:tbl>
    <w:p w14:paraId="0E9AA335"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w:t>
      </w:r>
    </w:p>
    <w:p w14:paraId="5D73D49C"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5. Распределение субсидий между муниципальными образованиями области - участниками Программы осуществляется в соответствии с Планом мероприятий по переселению граждан из аварийного жилищного фонда, признанного таковым до 01 января 2017 года, приведенным в приложении 3 к Программе. </w:t>
      </w:r>
    </w:p>
    <w:p w14:paraId="3FB052E4"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 </w:t>
      </w:r>
    </w:p>
    <w:p w14:paraId="6A68D615"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В соответствии с пунктом 7 статьи 6 Закона Ярославской области от 7 октября 2008 г. № 40-з изменения в распределение объемов субсидий между бюджетами городских, сельских поселений и муниципальных районов (городских округов) без внесения изменений в закон Ярославской области об областном бюджете на текущий финансовый год и плановый период могут быть внесены в случае предоставления субсидий бюджетам городских, сельских поселений и муниципальных районов (городских округов) в целях реализации региональных проектов, обеспечивающих достижение целей, показателей и результатов федеральных проектов, между городскими, сельскими поселениями и муниципальными районами (городскими округами) и (или) между текущим финансовым годом и плановым периодом в пределах общего объема расходов областного бюджета на соответствующий финансовый год. </w:t>
      </w:r>
    </w:p>
    <w:p w14:paraId="52E9DAFD"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6. Субсидия не предоставляется при невыполнении муниципальными образованиями области условий предоставления и расходования субсидии. </w:t>
      </w:r>
    </w:p>
    <w:p w14:paraId="7083034F"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7. В случае прекращения в установленном порядке перечисления субсидий за счет средств Фонда отдельным муниципальным образованиям области министерство строительства Ярославской области уточняет и перераспределяет бюджетные ассигнования в рамках субсидий между </w:t>
      </w:r>
      <w:r w:rsidRPr="00C33020">
        <w:rPr>
          <w:rFonts w:eastAsia="Calibri" w:cs="Times New Roman"/>
          <w:szCs w:val="28"/>
        </w:rPr>
        <w:lastRenderedPageBreak/>
        <w:t xml:space="preserve">муниципальными образованиями области в течение двух месяцев с момента прекращения перечисления субсидий. </w:t>
      </w:r>
    </w:p>
    <w:p w14:paraId="6D22E103"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Вопрос о перераспределении субсидий рассматривается при наличии объективных причин изменения показателей реализации Программы, а именно: </w:t>
      </w:r>
    </w:p>
    <w:p w14:paraId="6E1F1EE8"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в связи со смертью одиноко проживавшего по договору социального найма нанимателя в помещении, расположенном в аварийном жилищном фонде; </w:t>
      </w:r>
    </w:p>
    <w:p w14:paraId="3AF19CFF"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при дополнении адресного перечня домов, планируемых к расселению в рамках Программы, путем внесения изменений в Программу, а также изменения показателей реализации Программы; </w:t>
      </w:r>
    </w:p>
    <w:p w14:paraId="6220C012"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в связи с возникновением обстоятельств, предусмотренных статьей 83 Жилищного кодекса Российской Федерации, при реализации Программы; </w:t>
      </w:r>
    </w:p>
    <w:p w14:paraId="1D755FC9"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при возникновении разницы между рассчитанной начальной (максимальной) ценой контракта и ценой заключенного контракта при реализации Программы; </w:t>
      </w:r>
    </w:p>
    <w:p w14:paraId="3AE8756A"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при предоставлении гражданам с их согласия жилого помещения меньшей площади, чем площадь ранее занимаемого ими помещения, при реализации Программы. </w:t>
      </w:r>
    </w:p>
    <w:p w14:paraId="02ED43B8"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При этом не подлежат корректировке сроки исполнения Программы. </w:t>
      </w:r>
    </w:p>
    <w:p w14:paraId="634BA602"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8. При возникновении при реализации мероприятий Программы экономии средств Фонда в одних муниципальных образованиях области и возникновении дополнительной потребности в средствах в других муниципальных образованиях области субсидии подлежат перераспределению в соответствии с Порядком использования денежных средств, не израсходованных при реализации региональных адресных программ по переселению граждан из аварийного жилищного фонда, признанного в установленном порядке до 1 января 2017 года аварийным и подлежащим сносу или реконструкции в связи с физическим износом в процессе их эксплуатации, а также признанного таковым после 1 января 2017 года применительно к положениям главы 6.5 Федерального закона «О Фонде содействия реформированию жилищно-коммунального хозяйства», утвержденным решением правления Фонда от 5 июля 2022 года, протокол № 2/49, «О Порядке использования денежных средств, не израсходованных при реализации региональных адресных программ по переселению граждан из аварийного жилищного фонда, признанного в установленном порядке до 1 января 2017 года аварийным и подлежащим сносу или реконструкции в связи с физическим износом в процессе их эксплуатации, а также признанного таковым после 1 января 2017 года применительно к положениям главы 6.5 Федерального закона «О Фонде содействия реформированию жилищно-коммунального хозяйства». Перераспределение субсидий утверждается Правительством области путем внесения изменений в Программу. </w:t>
      </w:r>
    </w:p>
    <w:p w14:paraId="682C9576"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Неизрасходованные средства, в частности образовавшиеся в результате: </w:t>
      </w:r>
    </w:p>
    <w:p w14:paraId="116EAE94"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уменьшения предусмотренных Программой расходов на выплату возмещения за изымаемое жилое помещение или на приобретение жилых помещений в многоквартирных домах, а также в жилых домах, указанных в </w:t>
      </w:r>
      <w:r w:rsidRPr="00C33020">
        <w:rPr>
          <w:rFonts w:eastAsia="Calibri" w:cs="Times New Roman"/>
          <w:szCs w:val="28"/>
        </w:rPr>
        <w:lastRenderedPageBreak/>
        <w:t xml:space="preserve">пункте 2 части 2 статьи 49 Градостроительного кодекса Российской Федерации (в том числе в многоквартирных домах, строительство которых не завершено), и на строительство таких домов; </w:t>
      </w:r>
    </w:p>
    <w:p w14:paraId="5E2C2E05"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исключения из Программы домов по причине признания недействительными актов о признании этих домов аварийными по решению суда; </w:t>
      </w:r>
    </w:p>
    <w:p w14:paraId="5FEE4FE1"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возникновения при реализации Программы обстоятельств, предусмотренных статьей 83 Жилищного кодекса Российской Федерации; </w:t>
      </w:r>
    </w:p>
    <w:p w14:paraId="547B5150"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исключения из Программы жилых помещений в аварийных домах в связи со смертью собственников (наследники не объявились); </w:t>
      </w:r>
    </w:p>
    <w:p w14:paraId="19EB5D74"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уменьшения площади жилых помещений в аварийных домах, включенных в Программу, в результате инвентаризации жилищного фонда (на основании данных технических паспортов и правоустанавливающих документов); </w:t>
      </w:r>
    </w:p>
    <w:p w14:paraId="756CFA7D"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предоставления гражданам с их согласия жилого помещения меньшей площади, чем ранее занимаемое, </w:t>
      </w:r>
    </w:p>
    <w:p w14:paraId="70D274F5"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и в результате других объективных причин, перераспределяются и направляются на переселение граждан из аварийного жилищного фонда, признанного таковым в установленном порядке до 01 января 2017 года и расположенного на территории того же муниципального образования, что и аварийный жилищный фонд, при переселении граждан из которого образовались неизрасходованные средства. </w:t>
      </w:r>
    </w:p>
    <w:p w14:paraId="54DDDC41"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Неизрасходованные средства используются путем их направления на финансирование переселения граждан из иных жилых помещений в аварийном жилищном фонде, включенном или подлежащем включению в Программу. </w:t>
      </w:r>
    </w:p>
    <w:p w14:paraId="5E579030"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Неизрасходованные средства также направляются субъектом Российской Федерации (если получателем средств Фонда по этой заявке являлся субъект Российской Федерации) на переселение граждан из аварийного жилищного фонда, расположенного на территории другого муниципального образования, в том числе ранее не включенного в заявку на предоставление финансовой поддержки, при условии выполнения таким муниципальным образованием условий предоставления финансовой поддержки за счет средств Фонда, предусмотренных частью 1 статьи 14 Федерального закона от 21 июля 2007 года № 185-ФЗ. </w:t>
      </w:r>
    </w:p>
    <w:p w14:paraId="604374D3"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При этом такие неизрасходованные средства должны быть возвращены муниципальным образованием области в доход областного бюджета и могут быть направлены в другое муниципальное образование области только после внесения изменений в Программу и решение о местном бюджете этого муниципального образования области в части увеличения поступлений и расходования средств Фонда и средств областного бюджета. </w:t>
      </w:r>
    </w:p>
    <w:p w14:paraId="16E5B85E"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В случае невозможности перераспределения между многоквартирными домами или направления на новые дома неизрасходованных средств, в том числе вследствие незначительности указанных средств, отсутствия на территории муниципального образования области, в бюджете которого образовался остаток неизрасходованных средств, многоквартирных домов </w:t>
      </w:r>
      <w:r w:rsidRPr="00C33020">
        <w:rPr>
          <w:rFonts w:eastAsia="Calibri" w:cs="Times New Roman"/>
          <w:szCs w:val="28"/>
        </w:rPr>
        <w:lastRenderedPageBreak/>
        <w:t xml:space="preserve">аварийного жилищного фонда, такие средства в части средств Фонда используются в составе финансовой поддержки, предоставляемой Фондом в будущем (зачет средств Фонда). При этом указанные средства должны быть возвращены муниципальными образованиями области в доход областного бюджета. </w:t>
      </w:r>
    </w:p>
    <w:p w14:paraId="05DEAF57"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При невозможности использования неизрасходованных средств в будущем в рамках зачета средств Фонда Ярославской областью или муниципальными образованиями области, которые являлись получателями средств Фонда, указанные средства должны быть возвращены в Фонд в соответствии с дополнительным соглашением к соглашению о предоставлении субсидии, заключенному между Фондом и Ярославской областью. </w:t>
      </w:r>
    </w:p>
    <w:p w14:paraId="4AF95121"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Использование неизрасходованных средств осуществляется на основании внесения изменений в Программу с учетом требований жилищного законодательства Российской Федерации и Федерального закона от 21 июля 2007 года № 185-ФЗ и нормативных правовых актов Правительства Российской Федерации. </w:t>
      </w:r>
    </w:p>
    <w:p w14:paraId="59AA457D"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В целях осуществления предусмотренного статьей 22 Федерального закона от 21 июля 2007 года № 185-ФЗ мониторинга реализации региональных адресных программ по переселению граждан из многоквартирных домов, признанных в установленном порядке до 01 января 2017 года аварийными и подлежащими сносу или реконструкции в связи с физическим износом в процессе их эксплуатации министерство строительства Ярославской области уведомляет Фонд о планируемом использовании неизрасходованных средств и представляет в Фонд уведомление о внесении изменений в Программу. </w:t>
      </w:r>
    </w:p>
    <w:p w14:paraId="7438B8D4"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Остаток не израсходованных в отчетном году на реализацию Программы субсидий подлежит использованию в очередном году при подтверждении муниципальным образованием области потребности в нем и представлении администраторами доходов в министерство строительства Ярославской области необходимых обоснований по установленной министерством строительства Ярославской области форме. </w:t>
      </w:r>
    </w:p>
    <w:p w14:paraId="3F1796D9"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В случае неперечисления указанного остатка субсидий в доход областного бюджета данные средства подлежат взысканию в порядке, установленном приказом министерства финансов Ярославской области от 11.12.2009 № 15н «Об утверждении Порядка взыскания в доход областного бюджета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w:t>
      </w:r>
    </w:p>
    <w:p w14:paraId="0702EA03"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Перед муниципальными образованиями области устанавливаются обязанности по восстановлению кассовых расходов, произведенных областным бюджетом, в следующих случаях: </w:t>
      </w:r>
    </w:p>
    <w:p w14:paraId="15D82D24"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 смерть нанимателей, для которых органами местного самоуправления было приобретено готовое жилье за счет субсидий, при отсутствии потребности в расселении аварийного жилья такой же площади или возникшей экономии при переселении в данное жилое помещение меньшей площади; </w:t>
      </w:r>
    </w:p>
    <w:p w14:paraId="21486C76"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lastRenderedPageBreak/>
        <w:t xml:space="preserve">- направление муниципальными образованиями области обращений о необходимости перераспределения жилых помещений между этапами реализации Программы при наличии потребности в расселении аварийного жилья участника Программы и при возникновении экономии бюджетных средств по завершенному этапу Программы. </w:t>
      </w:r>
    </w:p>
    <w:p w14:paraId="7275AF0D"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9. Ответственность за достоверность, своевременность составления и представления отчетной документации возлагается на муниципальные образования области и соответствующих главных распорядителей средств местных бюджетов, осуществляющих расходование субсидии. </w:t>
      </w:r>
    </w:p>
    <w:p w14:paraId="27C96ACD"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Ответственность за нецелевое расходование субсидий возлагается на муниципальные образования области и соответствующих главных распорядителей средств местных бюджетов. </w:t>
      </w:r>
    </w:p>
    <w:p w14:paraId="751315A8"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В случае нецелевого использования муниципальными образованиями области субсидий, имеющих целевое назначение, применяется бесспорное взыскание суммы средств, полученных из областного бюджета, в размере средств, использованных не по целевому назначению. </w:t>
      </w:r>
    </w:p>
    <w:p w14:paraId="7832D067" w14:textId="77777777" w:rsidR="00C33020" w:rsidRPr="00C33020" w:rsidRDefault="00C33020" w:rsidP="00C33020">
      <w:pPr>
        <w:contextualSpacing/>
        <w:jc w:val="both"/>
        <w:rPr>
          <w:rFonts w:eastAsia="Calibri" w:cs="Times New Roman"/>
          <w:szCs w:val="28"/>
        </w:rPr>
      </w:pPr>
      <w:r w:rsidRPr="00C33020">
        <w:rPr>
          <w:rFonts w:eastAsia="Calibri" w:cs="Times New Roman"/>
          <w:szCs w:val="28"/>
        </w:rPr>
        <w:t xml:space="preserve">Контроль за целевым расходованием субсидий осуществляется главным распорядителем средств областного бюджета - министерством строительства Ярославской области. </w:t>
      </w:r>
    </w:p>
    <w:p w14:paraId="4A1EFD6F" w14:textId="2C80E2E2" w:rsidR="00C332A3" w:rsidRPr="003D1E8D" w:rsidRDefault="00C332A3" w:rsidP="00C33020">
      <w:pPr>
        <w:ind w:firstLine="0"/>
        <w:contextualSpacing/>
        <w:jc w:val="center"/>
      </w:pPr>
    </w:p>
    <w:sectPr w:rsidR="00C332A3" w:rsidRPr="003D1E8D" w:rsidSect="00070718">
      <w:headerReference w:type="default" r:id="rId12"/>
      <w:headerReference w:type="first" r:id="rId13"/>
      <w:pgSz w:w="11906" w:h="16838" w:code="9"/>
      <w:pgMar w:top="1134" w:right="851"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5B260" w14:textId="77777777" w:rsidR="00625E5E" w:rsidRDefault="00625E5E" w:rsidP="00CF5840">
      <w:r>
        <w:separator/>
      </w:r>
    </w:p>
  </w:endnote>
  <w:endnote w:type="continuationSeparator" w:id="0">
    <w:p w14:paraId="7ABAEC69" w14:textId="77777777" w:rsidR="00625E5E" w:rsidRDefault="00625E5E" w:rsidP="00CF5840">
      <w:r>
        <w:continuationSeparator/>
      </w:r>
    </w:p>
  </w:endnote>
  <w:endnote w:type="continuationNotice" w:id="1">
    <w:p w14:paraId="27F930F3" w14:textId="77777777" w:rsidR="00625E5E" w:rsidRDefault="00625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D8DAA" w14:textId="77777777" w:rsidR="00625E5E" w:rsidRDefault="00625E5E" w:rsidP="00CF5840">
      <w:r>
        <w:separator/>
      </w:r>
    </w:p>
  </w:footnote>
  <w:footnote w:type="continuationSeparator" w:id="0">
    <w:p w14:paraId="3CFF1BF6" w14:textId="77777777" w:rsidR="00625E5E" w:rsidRDefault="00625E5E" w:rsidP="00CF5840">
      <w:r>
        <w:continuationSeparator/>
      </w:r>
    </w:p>
  </w:footnote>
  <w:footnote w:type="continuationNotice" w:id="1">
    <w:p w14:paraId="3ADD4FB5" w14:textId="77777777" w:rsidR="00625E5E" w:rsidRDefault="00625E5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7915305"/>
      <w:docPartObj>
        <w:docPartGallery w:val="Page Numbers (Top of Page)"/>
        <w:docPartUnique/>
      </w:docPartObj>
    </w:sdtPr>
    <w:sdtEndPr/>
    <w:sdtContent>
      <w:p w14:paraId="1D6A6BCE" w14:textId="68EB48E0" w:rsidR="00F83A79" w:rsidRDefault="00F83A79">
        <w:pPr>
          <w:pStyle w:val="a4"/>
          <w:jc w:val="center"/>
        </w:pPr>
        <w:r>
          <w:fldChar w:fldCharType="begin"/>
        </w:r>
        <w:r>
          <w:instrText>PAGE   \* MERGEFORMAT</w:instrText>
        </w:r>
        <w:r>
          <w:fldChar w:fldCharType="separate"/>
        </w:r>
        <w:r w:rsidR="00AC0EE4">
          <w:rPr>
            <w:noProof/>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C93A7" w14:textId="54A02EFC" w:rsidR="00F83A79" w:rsidRDefault="00F83A79">
    <w:pPr>
      <w:pStyle w:val="a4"/>
      <w:jc w:val="center"/>
    </w:pPr>
  </w:p>
  <w:p w14:paraId="6275F7DA" w14:textId="77777777" w:rsidR="00F83A79" w:rsidRDefault="00F83A7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25C0D"/>
    <w:multiLevelType w:val="multilevel"/>
    <w:tmpl w:val="62360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15:restartNumberingAfterBreak="0">
    <w:nsid w:val="6CD02DD5"/>
    <w:multiLevelType w:val="multilevel"/>
    <w:tmpl w:val="F13AF60E"/>
    <w:lvl w:ilvl="0">
      <w:start w:val="1"/>
      <w:numFmt w:val="bullet"/>
      <w:lvlText w:val=""/>
      <w:lvlJc w:val="left"/>
      <w:pPr>
        <w:ind w:left="432" w:hanging="432"/>
      </w:pPr>
      <w:rPr>
        <w:rFonts w:ascii="Symbol" w:hAnsi="Symbol" w:cs="Symbol" w:hint="default"/>
        <w:color w:val="000000"/>
      </w:rPr>
    </w:lvl>
    <w:lvl w:ilvl="1">
      <w:start w:val="1"/>
      <w:numFmt w:val="none"/>
      <w:suff w:val="nothing"/>
      <w:lvlText w:val=""/>
      <w:lvlJc w:val="left"/>
      <w:pPr>
        <w:ind w:left="576" w:hanging="576"/>
      </w:pPr>
      <w:rPr>
        <w:rFonts w:ascii="Times New Roman" w:hAnsi="Times New Roman" w:cs="Times New Roman"/>
        <w:spacing w:val="-3"/>
        <w:sz w:val="24"/>
        <w:szCs w:val="24"/>
      </w:rPr>
    </w:lvl>
    <w:lvl w:ilvl="2">
      <w:start w:val="1"/>
      <w:numFmt w:val="none"/>
      <w:suff w:val="nothing"/>
      <w:lvlText w:val=""/>
      <w:lvlJc w:val="left"/>
      <w:pPr>
        <w:ind w:left="720" w:hanging="720"/>
      </w:pPr>
      <w:rPr>
        <w:rFonts w:ascii="Times New Roman" w:hAnsi="Times New Roman" w:cs="Times New Roman"/>
        <w:sz w:val="24"/>
        <w:szCs w:val="24"/>
      </w:rPr>
    </w:lvl>
    <w:lvl w:ilvl="3">
      <w:start w:val="1"/>
      <w:numFmt w:val="none"/>
      <w:suff w:val="nothing"/>
      <w:lvlText w:val=""/>
      <w:lvlJc w:val="left"/>
      <w:pPr>
        <w:ind w:left="864" w:hanging="864"/>
      </w:pPr>
      <w:rPr>
        <w:rFonts w:ascii="Times New Roman" w:hAnsi="Times New Roman" w:cs="Times New Roman"/>
        <w:i/>
        <w:sz w:val="24"/>
        <w:szCs w:val="24"/>
      </w:r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73084A90"/>
    <w:multiLevelType w:val="multilevel"/>
    <w:tmpl w:val="59DCCDD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430"/>
    <w:rsid w:val="00003A7B"/>
    <w:rsid w:val="0000609F"/>
    <w:rsid w:val="00006D72"/>
    <w:rsid w:val="00007DCA"/>
    <w:rsid w:val="00016EA0"/>
    <w:rsid w:val="00023A4A"/>
    <w:rsid w:val="0003729C"/>
    <w:rsid w:val="0004534E"/>
    <w:rsid w:val="0004791C"/>
    <w:rsid w:val="00056BCA"/>
    <w:rsid w:val="000655DC"/>
    <w:rsid w:val="00070718"/>
    <w:rsid w:val="0007117C"/>
    <w:rsid w:val="00076C7C"/>
    <w:rsid w:val="00080B34"/>
    <w:rsid w:val="00094CD6"/>
    <w:rsid w:val="000D46B4"/>
    <w:rsid w:val="000E38AA"/>
    <w:rsid w:val="000E7A86"/>
    <w:rsid w:val="000F4005"/>
    <w:rsid w:val="000F6C61"/>
    <w:rsid w:val="001230F9"/>
    <w:rsid w:val="0013224E"/>
    <w:rsid w:val="00132FAE"/>
    <w:rsid w:val="001347C5"/>
    <w:rsid w:val="00145919"/>
    <w:rsid w:val="00153CA5"/>
    <w:rsid w:val="001707B3"/>
    <w:rsid w:val="00171620"/>
    <w:rsid w:val="00171A8D"/>
    <w:rsid w:val="00172B1E"/>
    <w:rsid w:val="00174688"/>
    <w:rsid w:val="0018001F"/>
    <w:rsid w:val="001814D9"/>
    <w:rsid w:val="0018253A"/>
    <w:rsid w:val="00184760"/>
    <w:rsid w:val="001A294C"/>
    <w:rsid w:val="001B6AAD"/>
    <w:rsid w:val="001C78DA"/>
    <w:rsid w:val="001D209C"/>
    <w:rsid w:val="001D23FF"/>
    <w:rsid w:val="001E2F54"/>
    <w:rsid w:val="001E5858"/>
    <w:rsid w:val="00211306"/>
    <w:rsid w:val="00223623"/>
    <w:rsid w:val="002306C4"/>
    <w:rsid w:val="002426EF"/>
    <w:rsid w:val="00247C2D"/>
    <w:rsid w:val="00260038"/>
    <w:rsid w:val="00266118"/>
    <w:rsid w:val="002726AC"/>
    <w:rsid w:val="00277D34"/>
    <w:rsid w:val="00286184"/>
    <w:rsid w:val="00296A6E"/>
    <w:rsid w:val="002A5702"/>
    <w:rsid w:val="002B3C77"/>
    <w:rsid w:val="002B7BE8"/>
    <w:rsid w:val="002C7EB0"/>
    <w:rsid w:val="002D5276"/>
    <w:rsid w:val="002D7D02"/>
    <w:rsid w:val="002F30DD"/>
    <w:rsid w:val="002F6DDE"/>
    <w:rsid w:val="002F737C"/>
    <w:rsid w:val="002F73AE"/>
    <w:rsid w:val="00302050"/>
    <w:rsid w:val="00321A61"/>
    <w:rsid w:val="003230AE"/>
    <w:rsid w:val="003246AA"/>
    <w:rsid w:val="003261DC"/>
    <w:rsid w:val="00326B99"/>
    <w:rsid w:val="00332D48"/>
    <w:rsid w:val="00352C37"/>
    <w:rsid w:val="00364B8C"/>
    <w:rsid w:val="003656CE"/>
    <w:rsid w:val="003671E3"/>
    <w:rsid w:val="00380ED4"/>
    <w:rsid w:val="00381164"/>
    <w:rsid w:val="00381DAA"/>
    <w:rsid w:val="00386420"/>
    <w:rsid w:val="00390CF9"/>
    <w:rsid w:val="00392C04"/>
    <w:rsid w:val="00396700"/>
    <w:rsid w:val="003A2DCC"/>
    <w:rsid w:val="003B1ACF"/>
    <w:rsid w:val="003B3A0A"/>
    <w:rsid w:val="003B4A52"/>
    <w:rsid w:val="003C71F5"/>
    <w:rsid w:val="003D1E8D"/>
    <w:rsid w:val="003E1873"/>
    <w:rsid w:val="003E4368"/>
    <w:rsid w:val="003F030D"/>
    <w:rsid w:val="003F43C8"/>
    <w:rsid w:val="003F65E2"/>
    <w:rsid w:val="003F7F52"/>
    <w:rsid w:val="00403DAF"/>
    <w:rsid w:val="00404FB6"/>
    <w:rsid w:val="0040656C"/>
    <w:rsid w:val="00424358"/>
    <w:rsid w:val="00432A53"/>
    <w:rsid w:val="00442C27"/>
    <w:rsid w:val="00445F4D"/>
    <w:rsid w:val="004469C0"/>
    <w:rsid w:val="00452874"/>
    <w:rsid w:val="004561AD"/>
    <w:rsid w:val="00465711"/>
    <w:rsid w:val="00470773"/>
    <w:rsid w:val="00470F21"/>
    <w:rsid w:val="004766E5"/>
    <w:rsid w:val="0048331B"/>
    <w:rsid w:val="00487DAB"/>
    <w:rsid w:val="004A2691"/>
    <w:rsid w:val="004B17FF"/>
    <w:rsid w:val="004D2C70"/>
    <w:rsid w:val="004E566D"/>
    <w:rsid w:val="004E6821"/>
    <w:rsid w:val="004F5BC0"/>
    <w:rsid w:val="005021D1"/>
    <w:rsid w:val="00533EE9"/>
    <w:rsid w:val="00547508"/>
    <w:rsid w:val="0055413F"/>
    <w:rsid w:val="00563604"/>
    <w:rsid w:val="0056701C"/>
    <w:rsid w:val="00570530"/>
    <w:rsid w:val="00570FBB"/>
    <w:rsid w:val="0058454E"/>
    <w:rsid w:val="005862FB"/>
    <w:rsid w:val="00590622"/>
    <w:rsid w:val="005A0AA9"/>
    <w:rsid w:val="005C7F4A"/>
    <w:rsid w:val="005D0750"/>
    <w:rsid w:val="005D4AE9"/>
    <w:rsid w:val="005F2543"/>
    <w:rsid w:val="00600DEA"/>
    <w:rsid w:val="00604698"/>
    <w:rsid w:val="00606572"/>
    <w:rsid w:val="0061415B"/>
    <w:rsid w:val="006157BF"/>
    <w:rsid w:val="006168B1"/>
    <w:rsid w:val="00620FA7"/>
    <w:rsid w:val="00625E5E"/>
    <w:rsid w:val="00631ABE"/>
    <w:rsid w:val="00636F1F"/>
    <w:rsid w:val="00640C6F"/>
    <w:rsid w:val="00644BE0"/>
    <w:rsid w:val="0067108D"/>
    <w:rsid w:val="006732D7"/>
    <w:rsid w:val="006773F2"/>
    <w:rsid w:val="00680EAA"/>
    <w:rsid w:val="00681496"/>
    <w:rsid w:val="006900C0"/>
    <w:rsid w:val="006B2987"/>
    <w:rsid w:val="006B4DCF"/>
    <w:rsid w:val="006B6DD4"/>
    <w:rsid w:val="006C52CC"/>
    <w:rsid w:val="006C6D0B"/>
    <w:rsid w:val="006F1F60"/>
    <w:rsid w:val="006F2C94"/>
    <w:rsid w:val="006F5E27"/>
    <w:rsid w:val="00702FE0"/>
    <w:rsid w:val="007040CE"/>
    <w:rsid w:val="007106C5"/>
    <w:rsid w:val="00713390"/>
    <w:rsid w:val="00714137"/>
    <w:rsid w:val="00722E96"/>
    <w:rsid w:val="0073207A"/>
    <w:rsid w:val="0073281D"/>
    <w:rsid w:val="007341B3"/>
    <w:rsid w:val="007346EC"/>
    <w:rsid w:val="00736B82"/>
    <w:rsid w:val="00737E26"/>
    <w:rsid w:val="00741D0F"/>
    <w:rsid w:val="007432DA"/>
    <w:rsid w:val="00752DD9"/>
    <w:rsid w:val="0076039C"/>
    <w:rsid w:val="00781557"/>
    <w:rsid w:val="0079122B"/>
    <w:rsid w:val="00796C37"/>
    <w:rsid w:val="007A5221"/>
    <w:rsid w:val="007B6252"/>
    <w:rsid w:val="007B7B8D"/>
    <w:rsid w:val="007D0240"/>
    <w:rsid w:val="007D0ADB"/>
    <w:rsid w:val="007E36C3"/>
    <w:rsid w:val="007E4DF9"/>
    <w:rsid w:val="007E6FFC"/>
    <w:rsid w:val="008024BC"/>
    <w:rsid w:val="00805395"/>
    <w:rsid w:val="00810833"/>
    <w:rsid w:val="00814027"/>
    <w:rsid w:val="00831D06"/>
    <w:rsid w:val="00842472"/>
    <w:rsid w:val="00854B24"/>
    <w:rsid w:val="00866828"/>
    <w:rsid w:val="00867DC8"/>
    <w:rsid w:val="00870867"/>
    <w:rsid w:val="00875218"/>
    <w:rsid w:val="00884CBA"/>
    <w:rsid w:val="008A3D6F"/>
    <w:rsid w:val="008A6D65"/>
    <w:rsid w:val="008B14BA"/>
    <w:rsid w:val="008C1CB8"/>
    <w:rsid w:val="008C5C70"/>
    <w:rsid w:val="008D0294"/>
    <w:rsid w:val="008D17A5"/>
    <w:rsid w:val="008E078D"/>
    <w:rsid w:val="008F4065"/>
    <w:rsid w:val="0091717D"/>
    <w:rsid w:val="00937AC3"/>
    <w:rsid w:val="009416F7"/>
    <w:rsid w:val="009465F2"/>
    <w:rsid w:val="0096275B"/>
    <w:rsid w:val="00962F23"/>
    <w:rsid w:val="0097548B"/>
    <w:rsid w:val="00981D3B"/>
    <w:rsid w:val="009A307D"/>
    <w:rsid w:val="009A77EF"/>
    <w:rsid w:val="009B730E"/>
    <w:rsid w:val="009C5C92"/>
    <w:rsid w:val="009D3273"/>
    <w:rsid w:val="009D7F0F"/>
    <w:rsid w:val="009F432D"/>
    <w:rsid w:val="009F6729"/>
    <w:rsid w:val="00A0773B"/>
    <w:rsid w:val="00A11463"/>
    <w:rsid w:val="00A14D51"/>
    <w:rsid w:val="00A204E5"/>
    <w:rsid w:val="00A23611"/>
    <w:rsid w:val="00A274A4"/>
    <w:rsid w:val="00A34A55"/>
    <w:rsid w:val="00A360E3"/>
    <w:rsid w:val="00A36745"/>
    <w:rsid w:val="00A477F4"/>
    <w:rsid w:val="00A502DB"/>
    <w:rsid w:val="00A518A3"/>
    <w:rsid w:val="00A625CF"/>
    <w:rsid w:val="00A718A3"/>
    <w:rsid w:val="00A726C2"/>
    <w:rsid w:val="00A75F5C"/>
    <w:rsid w:val="00A81E9D"/>
    <w:rsid w:val="00A82803"/>
    <w:rsid w:val="00A83D83"/>
    <w:rsid w:val="00A854B3"/>
    <w:rsid w:val="00A8618F"/>
    <w:rsid w:val="00A91905"/>
    <w:rsid w:val="00AB0755"/>
    <w:rsid w:val="00AC0EE4"/>
    <w:rsid w:val="00AC274D"/>
    <w:rsid w:val="00AC5159"/>
    <w:rsid w:val="00AC7A8D"/>
    <w:rsid w:val="00B17FFB"/>
    <w:rsid w:val="00B229A6"/>
    <w:rsid w:val="00B30FFB"/>
    <w:rsid w:val="00B312E2"/>
    <w:rsid w:val="00B37D3A"/>
    <w:rsid w:val="00B41FCA"/>
    <w:rsid w:val="00B50CE7"/>
    <w:rsid w:val="00B55589"/>
    <w:rsid w:val="00B57101"/>
    <w:rsid w:val="00B571A6"/>
    <w:rsid w:val="00B8028D"/>
    <w:rsid w:val="00B826F1"/>
    <w:rsid w:val="00B90652"/>
    <w:rsid w:val="00B95CE5"/>
    <w:rsid w:val="00BB0B68"/>
    <w:rsid w:val="00BB1812"/>
    <w:rsid w:val="00BB2603"/>
    <w:rsid w:val="00BB38FE"/>
    <w:rsid w:val="00BC6971"/>
    <w:rsid w:val="00BD3826"/>
    <w:rsid w:val="00BE7C98"/>
    <w:rsid w:val="00BE7D4E"/>
    <w:rsid w:val="00BF6A06"/>
    <w:rsid w:val="00C05DCD"/>
    <w:rsid w:val="00C11E37"/>
    <w:rsid w:val="00C124FF"/>
    <w:rsid w:val="00C15168"/>
    <w:rsid w:val="00C208D9"/>
    <w:rsid w:val="00C24EDD"/>
    <w:rsid w:val="00C33020"/>
    <w:rsid w:val="00C332A3"/>
    <w:rsid w:val="00C348D5"/>
    <w:rsid w:val="00C37117"/>
    <w:rsid w:val="00C4062D"/>
    <w:rsid w:val="00C4080D"/>
    <w:rsid w:val="00C44D53"/>
    <w:rsid w:val="00C525D5"/>
    <w:rsid w:val="00C840E9"/>
    <w:rsid w:val="00CA698C"/>
    <w:rsid w:val="00CA6E16"/>
    <w:rsid w:val="00CB0DB6"/>
    <w:rsid w:val="00CB5329"/>
    <w:rsid w:val="00CB6341"/>
    <w:rsid w:val="00CD2847"/>
    <w:rsid w:val="00CD46EA"/>
    <w:rsid w:val="00CE714E"/>
    <w:rsid w:val="00CF5840"/>
    <w:rsid w:val="00D00EFB"/>
    <w:rsid w:val="00D04E08"/>
    <w:rsid w:val="00D05AA2"/>
    <w:rsid w:val="00D06430"/>
    <w:rsid w:val="00D10E5F"/>
    <w:rsid w:val="00D1105B"/>
    <w:rsid w:val="00D11A1C"/>
    <w:rsid w:val="00D22969"/>
    <w:rsid w:val="00D235B3"/>
    <w:rsid w:val="00D317AE"/>
    <w:rsid w:val="00D40736"/>
    <w:rsid w:val="00D438D5"/>
    <w:rsid w:val="00D609B9"/>
    <w:rsid w:val="00D75869"/>
    <w:rsid w:val="00D769AD"/>
    <w:rsid w:val="00D802FB"/>
    <w:rsid w:val="00D86E77"/>
    <w:rsid w:val="00D93F0C"/>
    <w:rsid w:val="00DC5637"/>
    <w:rsid w:val="00DE0430"/>
    <w:rsid w:val="00DF3C6C"/>
    <w:rsid w:val="00E04805"/>
    <w:rsid w:val="00E1407E"/>
    <w:rsid w:val="00E16F7D"/>
    <w:rsid w:val="00E373B1"/>
    <w:rsid w:val="00E37E81"/>
    <w:rsid w:val="00E40A2A"/>
    <w:rsid w:val="00E45A71"/>
    <w:rsid w:val="00E52617"/>
    <w:rsid w:val="00E54700"/>
    <w:rsid w:val="00E60507"/>
    <w:rsid w:val="00E667D2"/>
    <w:rsid w:val="00E67563"/>
    <w:rsid w:val="00E80FCF"/>
    <w:rsid w:val="00E85E31"/>
    <w:rsid w:val="00E92063"/>
    <w:rsid w:val="00E93857"/>
    <w:rsid w:val="00E947CA"/>
    <w:rsid w:val="00EB1BCC"/>
    <w:rsid w:val="00EB208D"/>
    <w:rsid w:val="00EE19DB"/>
    <w:rsid w:val="00EE1BCB"/>
    <w:rsid w:val="00EF10A2"/>
    <w:rsid w:val="00EF3B63"/>
    <w:rsid w:val="00F01F89"/>
    <w:rsid w:val="00F11C1E"/>
    <w:rsid w:val="00F17E57"/>
    <w:rsid w:val="00F24227"/>
    <w:rsid w:val="00F24ED2"/>
    <w:rsid w:val="00F265D6"/>
    <w:rsid w:val="00F405C6"/>
    <w:rsid w:val="00F416AB"/>
    <w:rsid w:val="00F50E5D"/>
    <w:rsid w:val="00F67D3A"/>
    <w:rsid w:val="00F72D99"/>
    <w:rsid w:val="00F82D65"/>
    <w:rsid w:val="00F83A79"/>
    <w:rsid w:val="00F95022"/>
    <w:rsid w:val="00F95A39"/>
    <w:rsid w:val="00FA635D"/>
    <w:rsid w:val="00FB49A9"/>
    <w:rsid w:val="00FC1331"/>
    <w:rsid w:val="00FC1BF6"/>
    <w:rsid w:val="00FC6ECA"/>
    <w:rsid w:val="00FD0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D6854C8"/>
  <w15:docId w15:val="{7AD3409A-1CBE-4CFE-ABF6-C1DA7D41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6729"/>
    <w:pPr>
      <w:spacing w:after="0" w:line="240" w:lineRule="auto"/>
      <w:ind w:firstLine="709"/>
    </w:pPr>
    <w:rPr>
      <w:rFonts w:ascii="Times New Roman" w:eastAsia="Times New Roman" w:hAnsi="Times New Roman" w:cs="Calibri"/>
      <w:sz w:val="28"/>
    </w:rPr>
  </w:style>
  <w:style w:type="paragraph" w:styleId="1">
    <w:name w:val="heading 1"/>
    <w:basedOn w:val="a"/>
    <w:next w:val="a"/>
    <w:link w:val="10"/>
    <w:uiPriority w:val="99"/>
    <w:qFormat/>
    <w:rsid w:val="00C332A3"/>
    <w:pPr>
      <w:widowControl w:val="0"/>
      <w:autoSpaceDE w:val="0"/>
      <w:autoSpaceDN w:val="0"/>
      <w:adjustRightInd w:val="0"/>
      <w:spacing w:before="108" w:after="108"/>
      <w:ind w:firstLine="0"/>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332A3"/>
    <w:rPr>
      <w:rFonts w:ascii="Times New Roman CYR" w:eastAsiaTheme="minorEastAsia" w:hAnsi="Times New Roman CYR" w:cs="Times New Roman CYR"/>
      <w:b/>
      <w:bCs/>
      <w:color w:val="26282F"/>
      <w:sz w:val="24"/>
      <w:szCs w:val="24"/>
      <w:lang w:eastAsia="ru-RU"/>
    </w:rPr>
  </w:style>
  <w:style w:type="table" w:styleId="a3">
    <w:name w:val="Table Grid"/>
    <w:basedOn w:val="a1"/>
    <w:uiPriority w:val="99"/>
    <w:rsid w:val="001B6AA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rsid w:val="001B6AAD"/>
    <w:pPr>
      <w:tabs>
        <w:tab w:val="center" w:pos="4677"/>
        <w:tab w:val="right" w:pos="9355"/>
      </w:tabs>
    </w:pPr>
  </w:style>
  <w:style w:type="character" w:customStyle="1" w:styleId="a5">
    <w:name w:val="Верхний колонтитул Знак"/>
    <w:basedOn w:val="a0"/>
    <w:link w:val="a4"/>
    <w:uiPriority w:val="99"/>
    <w:rsid w:val="001B6AAD"/>
    <w:rPr>
      <w:rFonts w:ascii="Calibri" w:eastAsia="Times New Roman" w:hAnsi="Calibri" w:cs="Calibri"/>
    </w:rPr>
  </w:style>
  <w:style w:type="paragraph" w:styleId="a6">
    <w:name w:val="footer"/>
    <w:basedOn w:val="a"/>
    <w:link w:val="a7"/>
    <w:uiPriority w:val="99"/>
    <w:unhideWhenUsed/>
    <w:rsid w:val="00810833"/>
    <w:pPr>
      <w:tabs>
        <w:tab w:val="center" w:pos="4677"/>
        <w:tab w:val="right" w:pos="9355"/>
      </w:tabs>
    </w:pPr>
  </w:style>
  <w:style w:type="character" w:customStyle="1" w:styleId="a7">
    <w:name w:val="Нижний колонтитул Знак"/>
    <w:basedOn w:val="a0"/>
    <w:link w:val="a6"/>
    <w:uiPriority w:val="99"/>
    <w:rsid w:val="00810833"/>
    <w:rPr>
      <w:rFonts w:ascii="Calibri" w:eastAsia="Times New Roman" w:hAnsi="Calibri" w:cs="Calibri"/>
    </w:rPr>
  </w:style>
  <w:style w:type="paragraph" w:styleId="a8">
    <w:name w:val="List Paragraph"/>
    <w:aliases w:val="Table-Normal,RSHB_Table-Normal,Bullet List,FooterText,numbered,SL_Абзац списка,Нумерованый список,СпБезКС,Paragraphe de liste1,lp1,ПАРАГРАФ"/>
    <w:basedOn w:val="a"/>
    <w:link w:val="a9"/>
    <w:uiPriority w:val="34"/>
    <w:qFormat/>
    <w:rsid w:val="003656CE"/>
    <w:pPr>
      <w:ind w:left="720"/>
      <w:contextualSpacing/>
    </w:pPr>
  </w:style>
  <w:style w:type="character" w:customStyle="1" w:styleId="a9">
    <w:name w:val="Абзац списка Знак"/>
    <w:aliases w:val="Table-Normal Знак,RSHB_Table-Normal Знак,Bullet List Знак,FooterText Знак,numbered Знак,SL_Абзац списка Знак,Нумерованый список Знак,СпБезКС Знак,Paragraphe de liste1 Знак,lp1 Знак,ПАРАГРАФ Знак"/>
    <w:link w:val="a8"/>
    <w:uiPriority w:val="34"/>
    <w:rsid w:val="00C332A3"/>
    <w:rPr>
      <w:rFonts w:ascii="Times New Roman" w:eastAsia="Times New Roman" w:hAnsi="Times New Roman" w:cs="Calibri"/>
      <w:sz w:val="28"/>
    </w:rPr>
  </w:style>
  <w:style w:type="paragraph" w:styleId="aa">
    <w:name w:val="Normal (Web)"/>
    <w:basedOn w:val="a"/>
    <w:uiPriority w:val="99"/>
    <w:unhideWhenUsed/>
    <w:rsid w:val="00DC5637"/>
    <w:pPr>
      <w:spacing w:before="100" w:beforeAutospacing="1" w:after="100" w:afterAutospacing="1"/>
      <w:ind w:firstLine="0"/>
    </w:pPr>
    <w:rPr>
      <w:rFonts w:cs="Times New Roman"/>
      <w:sz w:val="24"/>
      <w:szCs w:val="24"/>
      <w:lang w:eastAsia="ru-RU"/>
    </w:rPr>
  </w:style>
  <w:style w:type="character" w:styleId="ab">
    <w:name w:val="annotation reference"/>
    <w:basedOn w:val="a0"/>
    <w:uiPriority w:val="99"/>
    <w:semiHidden/>
    <w:unhideWhenUsed/>
    <w:rsid w:val="00A75F5C"/>
    <w:rPr>
      <w:sz w:val="16"/>
      <w:szCs w:val="16"/>
    </w:rPr>
  </w:style>
  <w:style w:type="paragraph" w:styleId="ac">
    <w:name w:val="annotation text"/>
    <w:basedOn w:val="a"/>
    <w:link w:val="ad"/>
    <w:uiPriority w:val="99"/>
    <w:semiHidden/>
    <w:unhideWhenUsed/>
    <w:rsid w:val="00A75F5C"/>
    <w:rPr>
      <w:sz w:val="20"/>
      <w:szCs w:val="20"/>
    </w:rPr>
  </w:style>
  <w:style w:type="character" w:customStyle="1" w:styleId="ad">
    <w:name w:val="Текст примечания Знак"/>
    <w:basedOn w:val="a0"/>
    <w:link w:val="ac"/>
    <w:uiPriority w:val="99"/>
    <w:semiHidden/>
    <w:rsid w:val="00A75F5C"/>
    <w:rPr>
      <w:rFonts w:ascii="Times New Roman" w:eastAsia="Times New Roman" w:hAnsi="Times New Roman" w:cs="Calibri"/>
      <w:sz w:val="20"/>
      <w:szCs w:val="20"/>
    </w:rPr>
  </w:style>
  <w:style w:type="paragraph" w:styleId="ae">
    <w:name w:val="annotation subject"/>
    <w:basedOn w:val="ac"/>
    <w:next w:val="ac"/>
    <w:link w:val="af"/>
    <w:uiPriority w:val="99"/>
    <w:unhideWhenUsed/>
    <w:rsid w:val="00A75F5C"/>
    <w:rPr>
      <w:b/>
      <w:bCs/>
    </w:rPr>
  </w:style>
  <w:style w:type="character" w:customStyle="1" w:styleId="af">
    <w:name w:val="Тема примечания Знак"/>
    <w:basedOn w:val="ad"/>
    <w:link w:val="ae"/>
    <w:uiPriority w:val="99"/>
    <w:rsid w:val="00A75F5C"/>
    <w:rPr>
      <w:rFonts w:ascii="Times New Roman" w:eastAsia="Times New Roman" w:hAnsi="Times New Roman" w:cs="Calibri"/>
      <w:b/>
      <w:bCs/>
      <w:sz w:val="20"/>
      <w:szCs w:val="20"/>
    </w:rPr>
  </w:style>
  <w:style w:type="paragraph" w:styleId="af0">
    <w:name w:val="Balloon Text"/>
    <w:basedOn w:val="a"/>
    <w:link w:val="af1"/>
    <w:uiPriority w:val="99"/>
    <w:semiHidden/>
    <w:unhideWhenUsed/>
    <w:rsid w:val="00A75F5C"/>
    <w:rPr>
      <w:rFonts w:ascii="Tahoma" w:hAnsi="Tahoma" w:cs="Tahoma"/>
      <w:sz w:val="16"/>
      <w:szCs w:val="16"/>
    </w:rPr>
  </w:style>
  <w:style w:type="character" w:customStyle="1" w:styleId="af1">
    <w:name w:val="Текст выноски Знак"/>
    <w:basedOn w:val="a0"/>
    <w:link w:val="af0"/>
    <w:uiPriority w:val="99"/>
    <w:semiHidden/>
    <w:rsid w:val="00A75F5C"/>
    <w:rPr>
      <w:rFonts w:ascii="Tahoma" w:eastAsia="Times New Roman" w:hAnsi="Tahoma" w:cs="Tahoma"/>
      <w:sz w:val="16"/>
      <w:szCs w:val="16"/>
    </w:rPr>
  </w:style>
  <w:style w:type="paragraph" w:customStyle="1" w:styleId="ConsPlusNormal">
    <w:name w:val="ConsPlusNormal"/>
    <w:rsid w:val="00C332A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332A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f2">
    <w:name w:val="Прижатый влево"/>
    <w:basedOn w:val="a"/>
    <w:next w:val="a"/>
    <w:uiPriority w:val="99"/>
    <w:rsid w:val="00C332A3"/>
    <w:pPr>
      <w:widowControl w:val="0"/>
      <w:autoSpaceDE w:val="0"/>
      <w:autoSpaceDN w:val="0"/>
      <w:adjustRightInd w:val="0"/>
      <w:ind w:firstLine="0"/>
    </w:pPr>
    <w:rPr>
      <w:rFonts w:ascii="Times New Roman CYR" w:eastAsiaTheme="minorEastAsia" w:hAnsi="Times New Roman CYR" w:cs="Times New Roman CYR"/>
      <w:sz w:val="24"/>
      <w:szCs w:val="24"/>
      <w:lang w:eastAsia="ru-RU"/>
    </w:rPr>
  </w:style>
  <w:style w:type="character" w:customStyle="1" w:styleId="af3">
    <w:name w:val="Гипертекстовая ссылка"/>
    <w:basedOn w:val="af4"/>
    <w:uiPriority w:val="99"/>
    <w:rsid w:val="00C332A3"/>
    <w:rPr>
      <w:b w:val="0"/>
      <w:color w:val="106BBE"/>
    </w:rPr>
  </w:style>
  <w:style w:type="character" w:customStyle="1" w:styleId="af4">
    <w:name w:val="Цветовое выделение"/>
    <w:uiPriority w:val="99"/>
    <w:rsid w:val="00C332A3"/>
    <w:rPr>
      <w:b/>
      <w:color w:val="26282F"/>
    </w:rPr>
  </w:style>
  <w:style w:type="paragraph" w:customStyle="1" w:styleId="af5">
    <w:name w:val="Нормальный (таблица)"/>
    <w:basedOn w:val="a"/>
    <w:next w:val="a"/>
    <w:uiPriority w:val="99"/>
    <w:rsid w:val="00C332A3"/>
    <w:pPr>
      <w:widowControl w:val="0"/>
      <w:autoSpaceDE w:val="0"/>
      <w:autoSpaceDN w:val="0"/>
      <w:adjustRightInd w:val="0"/>
      <w:ind w:firstLine="0"/>
      <w:jc w:val="both"/>
    </w:pPr>
    <w:rPr>
      <w:rFonts w:ascii="Times New Roman CYR" w:eastAsiaTheme="minorEastAsia" w:hAnsi="Times New Roman CYR" w:cs="Times New Roman CYR"/>
      <w:sz w:val="24"/>
      <w:szCs w:val="24"/>
      <w:lang w:eastAsia="ru-RU"/>
    </w:rPr>
  </w:style>
  <w:style w:type="paragraph" w:styleId="af6">
    <w:name w:val="Body Text Indent"/>
    <w:basedOn w:val="a"/>
    <w:link w:val="af7"/>
    <w:uiPriority w:val="99"/>
    <w:unhideWhenUsed/>
    <w:rsid w:val="00C332A3"/>
    <w:rPr>
      <w:rFonts w:cs="Times New Roman"/>
      <w:sz w:val="24"/>
      <w:szCs w:val="24"/>
      <w:lang w:eastAsia="ru-RU"/>
    </w:rPr>
  </w:style>
  <w:style w:type="character" w:customStyle="1" w:styleId="af7">
    <w:name w:val="Основной текст с отступом Знак"/>
    <w:basedOn w:val="a0"/>
    <w:link w:val="af6"/>
    <w:uiPriority w:val="99"/>
    <w:rsid w:val="00C332A3"/>
    <w:rPr>
      <w:rFonts w:ascii="Times New Roman" w:eastAsia="Times New Roman" w:hAnsi="Times New Roman" w:cs="Times New Roman"/>
      <w:sz w:val="24"/>
      <w:szCs w:val="24"/>
      <w:lang w:eastAsia="ru-RU"/>
    </w:rPr>
  </w:style>
  <w:style w:type="paragraph" w:styleId="3">
    <w:name w:val="Body Text Indent 3"/>
    <w:basedOn w:val="a"/>
    <w:link w:val="30"/>
    <w:uiPriority w:val="99"/>
    <w:rsid w:val="00C332A3"/>
    <w:pPr>
      <w:spacing w:after="120" w:line="276" w:lineRule="auto"/>
      <w:ind w:left="283" w:firstLine="0"/>
    </w:pPr>
    <w:rPr>
      <w:rFonts w:ascii="Calibri" w:eastAsia="Calibri" w:hAnsi="Calibri" w:cs="Times New Roman"/>
      <w:sz w:val="16"/>
      <w:szCs w:val="16"/>
    </w:rPr>
  </w:style>
  <w:style w:type="character" w:customStyle="1" w:styleId="30">
    <w:name w:val="Основной текст с отступом 3 Знак"/>
    <w:basedOn w:val="a0"/>
    <w:link w:val="3"/>
    <w:uiPriority w:val="99"/>
    <w:rsid w:val="00C332A3"/>
    <w:rPr>
      <w:rFonts w:ascii="Calibri" w:eastAsia="Calibri" w:hAnsi="Calibri" w:cs="Times New Roman"/>
      <w:sz w:val="16"/>
      <w:szCs w:val="16"/>
    </w:rPr>
  </w:style>
  <w:style w:type="character" w:styleId="af8">
    <w:name w:val="Emphasis"/>
    <w:basedOn w:val="a0"/>
    <w:uiPriority w:val="20"/>
    <w:qFormat/>
    <w:rsid w:val="00C332A3"/>
    <w:rPr>
      <w:i/>
      <w:iCs/>
    </w:rPr>
  </w:style>
  <w:style w:type="character" w:styleId="af9">
    <w:name w:val="Hyperlink"/>
    <w:basedOn w:val="a0"/>
    <w:uiPriority w:val="99"/>
    <w:unhideWhenUsed/>
    <w:rsid w:val="00C332A3"/>
    <w:rPr>
      <w:color w:val="0000FF"/>
      <w:u w:val="single"/>
    </w:rPr>
  </w:style>
  <w:style w:type="character" w:customStyle="1" w:styleId="blk">
    <w:name w:val="blk"/>
    <w:basedOn w:val="a0"/>
    <w:rsid w:val="00C332A3"/>
  </w:style>
  <w:style w:type="paragraph" w:customStyle="1" w:styleId="Default">
    <w:name w:val="Default"/>
    <w:rsid w:val="00C332A3"/>
    <w:pPr>
      <w:autoSpaceDE w:val="0"/>
      <w:autoSpaceDN w:val="0"/>
      <w:adjustRightInd w:val="0"/>
      <w:spacing w:after="0" w:line="240" w:lineRule="auto"/>
    </w:pPr>
    <w:rPr>
      <w:rFonts w:ascii="Times New Roman" w:hAnsi="Times New Roman" w:cs="Times New Roman"/>
      <w:color w:val="000000"/>
      <w:sz w:val="24"/>
      <w:szCs w:val="24"/>
    </w:rPr>
  </w:style>
  <w:style w:type="paragraph" w:styleId="afa">
    <w:name w:val="Revision"/>
    <w:hidden/>
    <w:uiPriority w:val="99"/>
    <w:semiHidden/>
    <w:rsid w:val="00805395"/>
    <w:pPr>
      <w:spacing w:after="0" w:line="240" w:lineRule="auto"/>
    </w:pPr>
    <w:rPr>
      <w:rFonts w:ascii="Times New Roman" w:eastAsia="Times New Roman" w:hAnsi="Times New Roman" w:cs="Calibri"/>
      <w:sz w:val="28"/>
    </w:rPr>
  </w:style>
  <w:style w:type="numbering" w:customStyle="1" w:styleId="11">
    <w:name w:val="Нет списка1"/>
    <w:next w:val="a2"/>
    <w:uiPriority w:val="99"/>
    <w:semiHidden/>
    <w:unhideWhenUsed/>
    <w:rsid w:val="009465F2"/>
  </w:style>
  <w:style w:type="table" w:customStyle="1" w:styleId="12">
    <w:name w:val="Сетка таблицы1"/>
    <w:basedOn w:val="a1"/>
    <w:next w:val="a3"/>
    <w:uiPriority w:val="99"/>
    <w:rsid w:val="009465F2"/>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Текст выноски Знак1"/>
    <w:basedOn w:val="a0"/>
    <w:uiPriority w:val="99"/>
    <w:semiHidden/>
    <w:rsid w:val="009465F2"/>
    <w:rPr>
      <w:rFonts w:ascii="Tahoma" w:eastAsia="Times New Roman" w:hAnsi="Tahoma" w:cs="Tahoma"/>
      <w:sz w:val="16"/>
      <w:szCs w:val="16"/>
    </w:rPr>
  </w:style>
  <w:style w:type="character" w:customStyle="1" w:styleId="14">
    <w:name w:val="Текст примечания Знак1"/>
    <w:basedOn w:val="a0"/>
    <w:uiPriority w:val="99"/>
    <w:semiHidden/>
    <w:rsid w:val="009465F2"/>
    <w:rPr>
      <w:rFonts w:ascii="Times New Roman" w:eastAsia="Times New Roman" w:hAnsi="Times New Roman" w:cs="Calibri"/>
      <w:sz w:val="20"/>
      <w:szCs w:val="20"/>
    </w:rPr>
  </w:style>
  <w:style w:type="character" w:customStyle="1" w:styleId="15">
    <w:name w:val="Тема примечания Знак1"/>
    <w:basedOn w:val="14"/>
    <w:uiPriority w:val="99"/>
    <w:semiHidden/>
    <w:rsid w:val="009465F2"/>
    <w:rPr>
      <w:rFonts w:ascii="Times New Roman" w:eastAsia="Times New Roman" w:hAnsi="Times New Roman" w:cs="Calibri"/>
      <w:b/>
      <w:bCs/>
      <w:sz w:val="20"/>
      <w:szCs w:val="20"/>
    </w:rPr>
  </w:style>
  <w:style w:type="table" w:customStyle="1" w:styleId="110">
    <w:name w:val="Сетка таблицы11"/>
    <w:basedOn w:val="a1"/>
    <w:next w:val="a3"/>
    <w:uiPriority w:val="99"/>
    <w:rsid w:val="009465F2"/>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b">
    <w:name w:val="Strong"/>
    <w:basedOn w:val="a0"/>
    <w:uiPriority w:val="22"/>
    <w:qFormat/>
    <w:rsid w:val="009465F2"/>
    <w:rPr>
      <w:b/>
      <w:bCs/>
    </w:rPr>
  </w:style>
  <w:style w:type="character" w:styleId="afc">
    <w:name w:val="FollowedHyperlink"/>
    <w:basedOn w:val="a0"/>
    <w:uiPriority w:val="99"/>
    <w:semiHidden/>
    <w:unhideWhenUsed/>
    <w:rsid w:val="009465F2"/>
    <w:rPr>
      <w:color w:val="800080" w:themeColor="followedHyperlink"/>
      <w:u w:val="single"/>
    </w:rPr>
  </w:style>
  <w:style w:type="table" w:customStyle="1" w:styleId="120">
    <w:name w:val="Сетка таблицы12"/>
    <w:basedOn w:val="a1"/>
    <w:next w:val="a3"/>
    <w:uiPriority w:val="99"/>
    <w:rsid w:val="009465F2"/>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
    <w:name w:val="Нет списка2"/>
    <w:next w:val="a2"/>
    <w:uiPriority w:val="99"/>
    <w:semiHidden/>
    <w:unhideWhenUsed/>
    <w:rsid w:val="003E4368"/>
  </w:style>
  <w:style w:type="table" w:customStyle="1" w:styleId="20">
    <w:name w:val="Сетка таблицы2"/>
    <w:basedOn w:val="a1"/>
    <w:next w:val="a3"/>
    <w:uiPriority w:val="99"/>
    <w:rsid w:val="003E4368"/>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
    <w:basedOn w:val="a1"/>
    <w:next w:val="a3"/>
    <w:uiPriority w:val="59"/>
    <w:rsid w:val="003E4368"/>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30">
    <w:name w:val="Сетка таблицы13"/>
    <w:basedOn w:val="a1"/>
    <w:next w:val="a3"/>
    <w:uiPriority w:val="99"/>
    <w:rsid w:val="003E43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99"/>
    <w:rsid w:val="003864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071996">
      <w:bodyDiv w:val="1"/>
      <w:marLeft w:val="0"/>
      <w:marRight w:val="0"/>
      <w:marTop w:val="0"/>
      <w:marBottom w:val="0"/>
      <w:divBdr>
        <w:top w:val="none" w:sz="0" w:space="0" w:color="auto"/>
        <w:left w:val="none" w:sz="0" w:space="0" w:color="auto"/>
        <w:bottom w:val="none" w:sz="0" w:space="0" w:color="auto"/>
        <w:right w:val="none" w:sz="0" w:space="0" w:color="auto"/>
      </w:divBdr>
    </w:div>
    <w:div w:id="138297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ilov\Documents\TMP\&#1064;&#1072;&#1073;&#1083;&#1086;&#1085;&#1099;%20&#1076;&#1086;&#1082;&#1091;&#1084;&#1077;&#1085;&#1090;&#1086;&#1074;\&#1064;&#1072;&#1073;&#1083;&#1086;&#1085;%20&#1087;&#1086;&#1089;&#1090;&#1072;&#1085;&#1086;&#1074;&#1083;&#1077;&#1085;&#1080;&#1103;%20&#1055;&#1088;&#1072;&#1074;&#1080;&#1090;&#1077;&#1083;&#1100;&#1089;&#1090;&#1074;&#1072;%20&#1086;&#1073;&#1083;&#1072;&#1089;&#109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ID xmlns="081b8c99-5a1b-4ba1-9a3e-0d0cea83319e" xsi:nil="true"/>
    <dateaddindb xmlns="081b8c99-5a1b-4ba1-9a3e-0d0cea83319e">2021-04-05T20:00:00+00:00</dateaddindb>
    <dateminusta xmlns="081b8c99-5a1b-4ba1-9a3e-0d0cea83319e" xsi:nil="true"/>
    <numik xmlns="af44e648-6311-40f1-ad37-1234555fd9ba">169</numik>
    <kind xmlns="e2080b48-eafa-461e-b501-38555d38caa1">79</kind>
    <num xmlns="af44e648-6311-40f1-ad37-1234555fd9ba">169</num>
    <beginactiondate xmlns="a853e5a8-fa1e-4dd3-a1b5-1604bfb35b05">2021-03-29T20:00:00+00:00</beginactiondate>
    <approvaldate xmlns="081b8c99-5a1b-4ba1-9a3e-0d0cea83319e">2021-03-29T20:00:00+00:00</approvaldate>
    <bigtitle xmlns="a853e5a8-fa1e-4dd3-a1b5-1604bfb35b05">Об утверждении государственной программы Ярославской области «Развитие образования в Ярославской области» на 2021 – 2025 годы и признании утратившими силу отдельных постановлений Правительства области (с изменениями на 12 апреля 2023 года)</bigtitle>
    <NMinusta xmlns="081b8c99-5a1b-4ba1-9a3e-0d0cea83319e" xsi:nil="true"/>
    <link xmlns="a853e5a8-fa1e-4dd3-a1b5-1604bfb35b05" xsi:nil="true"/>
    <islastredaction xmlns="081b8c99-5a1b-4ba1-9a3e-0d0cea83319e">true</islastredaction>
    <enddate xmlns="081b8c99-5a1b-4ba1-9a3e-0d0cea83319e" xsi:nil="true"/>
    <publication xmlns="081b8c99-5a1b-4ba1-9a3e-0d0cea83319e">Официальный интернет-портал правовой информации http://pravo.gov.ru, 07.04.2021</publication>
    <redactiondate xmlns="081b8c99-5a1b-4ba1-9a3e-0d0cea83319e">2023-04-11T20:00:00+00:00</redactiondate>
    <status xmlns="5256eb8c-d5dd-498a-ad6f-7fa801666f9a">34</status>
    <organ xmlns="67a9cb4f-e58d-445a-8e0b-2b8d792f9e38">218</organ>
    <type xmlns="bc1d99f4-2047-4b43-99f0-e8f2a593a624">103</type>
    <notes0 xmlns="081b8c99-5a1b-4ba1-9a3e-0d0cea83319e" xsi:nil="true"/>
    <informstring xmlns="081b8c99-5a1b-4ba1-9a3e-0d0cea83319e" xsi:nil="true"/>
    <theme xmlns="1e82c985-6cf2-4d43-b8b5-a430af7accc6"/>
    <meaning xmlns="05bb7913-6745-425b-9415-f9dbd3e56b95">113</meaning>
    <lastredaction xmlns="a853e5a8-fa1e-4dd3-a1b5-1604bfb35b05" xsi:nil="true"/>
    <number xmlns="081b8c99-5a1b-4ba1-9a3e-0d0cea83319e">169-п</number>
    <dateedition xmlns="081b8c99-5a1b-4ba1-9a3e-0d0cea83319e" xsi:nil="true"/>
    <operinform xmlns="081b8c99-5a1b-4ba1-9a3e-0d0cea83319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AA6B1-B820-4615-9FFE-D4B99919C37A}">
  <ds:schemaRefs>
    <ds:schemaRef ds:uri="http://schemas.microsoft.com/office/2006/metadata/properties"/>
    <ds:schemaRef ds:uri="e2080b48-eafa-461e-b501-38555d38caa1"/>
    <ds:schemaRef ds:uri="a853e5a8-fa1e-4dd3-a1b5-1604bfb35b05"/>
    <ds:schemaRef ds:uri="bc1d99f4-2047-4b43-99f0-e8f2a593a624"/>
    <ds:schemaRef ds:uri="http://schemas.openxmlformats.org/package/2006/metadata/core-properties"/>
    <ds:schemaRef ds:uri="http://www.w3.org/XML/1998/namespace"/>
    <ds:schemaRef ds:uri="http://schemas.microsoft.com/office/infopath/2007/PartnerControls"/>
    <ds:schemaRef ds:uri="af44e648-6311-40f1-ad37-1234555fd9ba"/>
    <ds:schemaRef ds:uri="http://purl.org/dc/dcmitype/"/>
    <ds:schemaRef ds:uri="5256eb8c-d5dd-498a-ad6f-7fa801666f9a"/>
    <ds:schemaRef ds:uri="http://purl.org/dc/elements/1.1/"/>
    <ds:schemaRef ds:uri="1e82c985-6cf2-4d43-b8b5-a430af7accc6"/>
    <ds:schemaRef ds:uri="http://purl.org/dc/terms/"/>
    <ds:schemaRef ds:uri="081b8c99-5a1b-4ba1-9a3e-0d0cea83319e"/>
    <ds:schemaRef ds:uri="http://schemas.microsoft.com/office/2006/documentManagement/types"/>
    <ds:schemaRef ds:uri="67a9cb4f-e58d-445a-8e0b-2b8d792f9e38"/>
    <ds:schemaRef ds:uri="05bb7913-6745-425b-9415-f9dbd3e56b95"/>
  </ds:schemaRefs>
</ds:datastoreItem>
</file>

<file path=customXml/itemProps2.xml><?xml version="1.0" encoding="utf-8"?>
<ds:datastoreItem xmlns:ds="http://schemas.openxmlformats.org/officeDocument/2006/customXml" ds:itemID="{02AFF631-3961-4CDD-9526-1264FE8EC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9cb4f-e58d-445a-8e0b-2b8d792f9e38"/>
    <ds:schemaRef ds:uri="081b8c99-5a1b-4ba1-9a3e-0d0cea83319e"/>
    <ds:schemaRef ds:uri="e2080b48-eafa-461e-b501-38555d38caa1"/>
    <ds:schemaRef ds:uri="5256eb8c-d5dd-498a-ad6f-7fa801666f9a"/>
    <ds:schemaRef ds:uri="05bb7913-6745-425b-9415-f9dbd3e56b95"/>
    <ds:schemaRef ds:uri="1e82c985-6cf2-4d43-b8b5-a430af7accc6"/>
    <ds:schemaRef ds:uri="bc1d99f4-2047-4b43-99f0-e8f2a593a624"/>
    <ds:schemaRef ds:uri="a853e5a8-fa1e-4dd3-a1b5-1604bfb35b05"/>
    <ds:schemaRef ds:uri="af44e648-6311-40f1-ad37-1234555fd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0D0BB6-27CA-410E-AF42-5571CDCB7799}">
  <ds:schemaRefs>
    <ds:schemaRef ds:uri="http://schemas.microsoft.com/sharepoint/v3/contenttype/forms"/>
  </ds:schemaRefs>
</ds:datastoreItem>
</file>

<file path=customXml/itemProps4.xml><?xml version="1.0" encoding="utf-8"?>
<ds:datastoreItem xmlns:ds="http://schemas.openxmlformats.org/officeDocument/2006/customXml" ds:itemID="{4B9E23D2-6EAE-4E18-A1A1-D73459C29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постановления Правительства области.dotx</Template>
  <TotalTime>5</TotalTime>
  <Pages>8</Pages>
  <Words>2926</Words>
  <Characters>16684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Загороднова Светлана Михайловна</dc:creator>
  <cp:lastModifiedBy>Овсянникова Евгения Владимировна</cp:lastModifiedBy>
  <cp:revision>8</cp:revision>
  <cp:lastPrinted>2011-05-24T11:15:00Z</cp:lastPrinted>
  <dcterms:created xsi:type="dcterms:W3CDTF">2023-10-18T13:22:00Z</dcterms:created>
  <dcterms:modified xsi:type="dcterms:W3CDTF">2023-10-23T13:42:00Z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Заголовок">
    <vt:lpwstr>[Заголовок]</vt:lpwstr>
  </property>
  <property fmtid="{D5CDD505-2E9C-101B-9397-08002B2CF9AE}" pid="3" name="SYS_CODE_DIRECTUM">
    <vt:lpwstr>DIRECTUM</vt:lpwstr>
  </property>
  <property fmtid="{D5CDD505-2E9C-101B-9397-08002B2CF9AE}" pid="4" name="Наименование">
    <vt:lpwstr>Шаблон постановления Правительства области</vt:lpwstr>
  </property>
  <property fmtid="{D5CDD505-2E9C-101B-9397-08002B2CF9AE}" pid="5" name="Содержание">
    <vt:lpwstr>Об утверждении государственной программы Ярославской области «Развитие образования в Ярославской области» на 2021 – 2024 годы и признании утратившими силу отдельных постановлений Правительства области</vt:lpwstr>
  </property>
  <property fmtid="{D5CDD505-2E9C-101B-9397-08002B2CF9AE}" pid="6" name="INSTALL_ID">
    <vt:lpwstr>34115</vt:lpwstr>
  </property>
  <property fmtid="{D5CDD505-2E9C-101B-9397-08002B2CF9AE}" pid="7" name="ContentTypeId">
    <vt:lpwstr>0x0101004652DC89D47FB74683366416A31888CB</vt:lpwstr>
  </property>
</Properties>
</file>