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53" w:rsidRPr="00DB3853" w:rsidRDefault="00DB3853" w:rsidP="00DB3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853">
        <w:rPr>
          <w:rFonts w:ascii="Times New Roman" w:hAnsi="Times New Roman" w:cs="Times New Roman"/>
          <w:b/>
          <w:bCs/>
          <w:sz w:val="28"/>
          <w:szCs w:val="28"/>
        </w:rPr>
        <w:t>Расчеты по налоговым доходам областного бюджета по основным налогам и расчеты по неналоговым доходам областного бюджета</w:t>
      </w:r>
    </w:p>
    <w:p w:rsidR="00BA7E68" w:rsidRDefault="00DB3853" w:rsidP="00DB385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DB3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60A0" w:rsidRPr="004D60A0">
        <w:rPr>
          <w:rFonts w:ascii="Times New Roman" w:hAnsi="Times New Roman" w:cs="Times New Roman"/>
          <w:b/>
          <w:sz w:val="28"/>
          <w:szCs w:val="28"/>
        </w:rPr>
        <w:t xml:space="preserve">2017 год 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D60A0" w:rsidRPr="004D60A0">
        <w:rPr>
          <w:rFonts w:ascii="Times New Roman" w:hAnsi="Times New Roman" w:cs="Times New Roman"/>
          <w:b/>
          <w:sz w:val="28"/>
          <w:szCs w:val="28"/>
        </w:rPr>
        <w:t>планов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4D60A0" w:rsidRPr="004D60A0">
        <w:rPr>
          <w:rFonts w:ascii="Times New Roman" w:hAnsi="Times New Roman" w:cs="Times New Roman"/>
          <w:b/>
          <w:sz w:val="28"/>
          <w:szCs w:val="28"/>
        </w:rPr>
        <w:t xml:space="preserve"> период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D60A0" w:rsidRPr="004D60A0">
        <w:rPr>
          <w:rFonts w:ascii="Times New Roman" w:hAnsi="Times New Roman" w:cs="Times New Roman"/>
          <w:b/>
          <w:sz w:val="28"/>
          <w:szCs w:val="28"/>
        </w:rPr>
        <w:t>2019 годов</w:t>
      </w:r>
    </w:p>
    <w:p w:rsidR="0009364A" w:rsidRPr="004D60A0" w:rsidRDefault="0009364A" w:rsidP="0009364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1C2" w:rsidRPr="008E4C33" w:rsidRDefault="004D60A0" w:rsidP="006F6031">
      <w:pPr>
        <w:spacing w:after="0" w:line="240" w:lineRule="auto"/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4C33">
        <w:rPr>
          <w:rFonts w:ascii="Times New Roman" w:hAnsi="Times New Roman" w:cs="Times New Roman"/>
          <w:sz w:val="28"/>
          <w:szCs w:val="28"/>
        </w:rPr>
        <w:t>Прогноз поступления налоговых и неналоговых доходов в областной бюджет в 2017 году и на плановый период 2018 и 2019 год</w:t>
      </w:r>
      <w:r w:rsidR="00E651C2" w:rsidRPr="008E4C33">
        <w:rPr>
          <w:rFonts w:ascii="Times New Roman" w:hAnsi="Times New Roman" w:cs="Times New Roman"/>
          <w:sz w:val="28"/>
          <w:szCs w:val="28"/>
        </w:rPr>
        <w:t>ов</w:t>
      </w:r>
      <w:r w:rsidRPr="008E4C33">
        <w:rPr>
          <w:rFonts w:ascii="Times New Roman" w:hAnsi="Times New Roman" w:cs="Times New Roman"/>
          <w:sz w:val="28"/>
          <w:szCs w:val="28"/>
        </w:rPr>
        <w:t xml:space="preserve"> </w:t>
      </w:r>
      <w:r w:rsidR="00E651C2" w:rsidRPr="008E4C33">
        <w:rPr>
          <w:rFonts w:ascii="Times New Roman" w:hAnsi="Times New Roman" w:cs="Times New Roman"/>
          <w:sz w:val="28"/>
          <w:szCs w:val="28"/>
        </w:rPr>
        <w:t>рассчитан на основании благоприятного варианта прогноза социально-экономического развития Ярославской области</w:t>
      </w:r>
      <w:r w:rsidR="00AC4166" w:rsidRPr="008E4C33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AC4166" w:rsidRPr="008E4C33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AC4166" w:rsidRPr="008E4C33">
        <w:rPr>
          <w:rFonts w:ascii="Times New Roman" w:hAnsi="Times New Roman" w:cs="Times New Roman"/>
          <w:color w:val="000000"/>
          <w:sz w:val="28"/>
          <w:szCs w:val="28"/>
        </w:rPr>
        <w:t>исходит из возможности сохранения позитивных тенденций развития внешних и внутренних условий и ориентирован</w:t>
      </w:r>
      <w:proofErr w:type="gramEnd"/>
      <w:r w:rsidR="00AC4166" w:rsidRPr="008E4C33">
        <w:rPr>
          <w:rFonts w:ascii="Times New Roman" w:hAnsi="Times New Roman" w:cs="Times New Roman"/>
          <w:color w:val="000000"/>
          <w:sz w:val="28"/>
          <w:szCs w:val="28"/>
        </w:rPr>
        <w:t xml:space="preserve"> на дальнейшее улучшение социально-экономической ситуации</w:t>
      </w:r>
      <w:r w:rsidR="00AC4166" w:rsidRPr="008E4C33">
        <w:rPr>
          <w:rFonts w:ascii="Times New Roman" w:hAnsi="Times New Roman" w:cs="Times New Roman"/>
          <w:sz w:val="28"/>
          <w:szCs w:val="28"/>
        </w:rPr>
        <w:t>.</w:t>
      </w:r>
    </w:p>
    <w:p w:rsidR="001C7F07" w:rsidRPr="00B35423" w:rsidRDefault="00AC4166" w:rsidP="006F6031">
      <w:pPr>
        <w:spacing w:after="0" w:line="240" w:lineRule="auto"/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4C33">
        <w:rPr>
          <w:rFonts w:ascii="Times New Roman" w:hAnsi="Times New Roman" w:cs="Times New Roman"/>
          <w:sz w:val="28"/>
          <w:szCs w:val="28"/>
        </w:rPr>
        <w:t xml:space="preserve">Мероприятия по увеличению поступления налогов в областной бюджет будут осуществляться в соответствии с Основными направлениями налоговой политики Ярославской области </w:t>
      </w:r>
      <w:r w:rsidR="001C7F07">
        <w:rPr>
          <w:rFonts w:ascii="Times New Roman" w:hAnsi="Times New Roman" w:cs="Times New Roman"/>
          <w:sz w:val="28"/>
          <w:szCs w:val="28"/>
        </w:rPr>
        <w:t xml:space="preserve">на </w:t>
      </w:r>
      <w:r w:rsidRPr="008E4C33">
        <w:rPr>
          <w:rFonts w:ascii="Times New Roman" w:hAnsi="Times New Roman" w:cs="Times New Roman"/>
          <w:sz w:val="28"/>
          <w:szCs w:val="28"/>
        </w:rPr>
        <w:t>2017 год и на пла</w:t>
      </w:r>
      <w:r w:rsidR="001C7F07">
        <w:rPr>
          <w:rFonts w:ascii="Times New Roman" w:hAnsi="Times New Roman" w:cs="Times New Roman"/>
          <w:sz w:val="28"/>
          <w:szCs w:val="28"/>
        </w:rPr>
        <w:t>новый период 2018 и 2019 годов, утвержденными Указом Губернат</w:t>
      </w:r>
      <w:r w:rsidR="00B35423">
        <w:rPr>
          <w:rFonts w:ascii="Times New Roman" w:hAnsi="Times New Roman" w:cs="Times New Roman"/>
          <w:sz w:val="28"/>
          <w:szCs w:val="28"/>
        </w:rPr>
        <w:t>ора области от 30.09.2016 №</w:t>
      </w:r>
      <w:r w:rsidR="00E900B0">
        <w:rPr>
          <w:rFonts w:ascii="Times New Roman" w:hAnsi="Times New Roman" w:cs="Times New Roman"/>
          <w:sz w:val="28"/>
          <w:szCs w:val="28"/>
        </w:rPr>
        <w:t xml:space="preserve"> </w:t>
      </w:r>
      <w:r w:rsidR="00B35423">
        <w:rPr>
          <w:rFonts w:ascii="Times New Roman" w:hAnsi="Times New Roman" w:cs="Times New Roman"/>
          <w:sz w:val="28"/>
          <w:szCs w:val="28"/>
        </w:rPr>
        <w:t>500.</w:t>
      </w:r>
    </w:p>
    <w:p w:rsidR="00AC4166" w:rsidRPr="008E4C33" w:rsidRDefault="00B754C7" w:rsidP="006F6031">
      <w:pPr>
        <w:spacing w:after="0" w:line="240" w:lineRule="auto"/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расчетах у</w:t>
      </w:r>
      <w:r w:rsidR="00AC4166" w:rsidRPr="008E4C33">
        <w:rPr>
          <w:rFonts w:ascii="Times New Roman" w:hAnsi="Times New Roman" w:cs="Times New Roman"/>
          <w:sz w:val="28"/>
          <w:szCs w:val="28"/>
        </w:rPr>
        <w:t>чтены положения опубликованного проекта основных направлений налоговой политики Российской Федерации на соответствующий период</w:t>
      </w:r>
      <w:r w:rsidR="00BC0CAB">
        <w:rPr>
          <w:rFonts w:ascii="Times New Roman" w:hAnsi="Times New Roman" w:cs="Times New Roman"/>
          <w:sz w:val="28"/>
          <w:szCs w:val="28"/>
        </w:rPr>
        <w:t>, проекта закона о федеральном бюджете на 2017 год и плановый период 2018</w:t>
      </w:r>
      <w:r w:rsidR="00B35423" w:rsidRPr="00B35423">
        <w:rPr>
          <w:rFonts w:ascii="Times New Roman" w:hAnsi="Times New Roman" w:cs="Times New Roman"/>
          <w:sz w:val="28"/>
          <w:szCs w:val="28"/>
        </w:rPr>
        <w:t xml:space="preserve"> </w:t>
      </w:r>
      <w:r w:rsidR="00B35423">
        <w:rPr>
          <w:rFonts w:ascii="Times New Roman" w:hAnsi="Times New Roman" w:cs="Times New Roman"/>
          <w:sz w:val="28"/>
          <w:szCs w:val="28"/>
        </w:rPr>
        <w:t>и</w:t>
      </w:r>
      <w:r w:rsidR="00BC0CAB">
        <w:rPr>
          <w:rFonts w:ascii="Times New Roman" w:hAnsi="Times New Roman" w:cs="Times New Roman"/>
          <w:sz w:val="28"/>
          <w:szCs w:val="28"/>
        </w:rPr>
        <w:t xml:space="preserve"> 2019 годов.</w:t>
      </w:r>
    </w:p>
    <w:p w:rsidR="004D60A0" w:rsidRPr="008E4C33" w:rsidRDefault="00B754C7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Поступление н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>алоговы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и неналоговы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доход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AC4166" w:rsidRPr="008E4C33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прогнозируются в сумме </w:t>
      </w:r>
      <w:r w:rsidR="00E37942" w:rsidRPr="008E4C3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1D03F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C0CA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71,2</w:t>
      </w:r>
      <w:r w:rsidR="00B5471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>млн.</w:t>
      </w:r>
      <w:r w:rsidR="00B54714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>руб., с ростом к ожидаемому поступлению в текущем году на 8,</w:t>
      </w:r>
      <w:r w:rsidR="00BC0CAB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37942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%,</w:t>
      </w:r>
      <w:r w:rsidR="00E37942" w:rsidRPr="008E4C3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B361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37942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2018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B3618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- в сумме 51</w:t>
      </w:r>
      <w:r w:rsidR="00B3542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296629">
        <w:rPr>
          <w:rFonts w:ascii="Times New Roman" w:hAnsi="Times New Roman" w:cs="Times New Roman"/>
          <w:sz w:val="28"/>
          <w:szCs w:val="28"/>
          <w:lang w:eastAsia="ru-RU"/>
        </w:rPr>
        <w:t>75</w:t>
      </w:r>
      <w:r w:rsidR="007957B1">
        <w:rPr>
          <w:rFonts w:ascii="Times New Roman" w:hAnsi="Times New Roman" w:cs="Times New Roman"/>
          <w:sz w:val="28"/>
          <w:szCs w:val="28"/>
          <w:lang w:eastAsia="ru-RU"/>
        </w:rPr>
        <w:t>0,0</w:t>
      </w:r>
      <w:r w:rsidR="00B35423">
        <w:rPr>
          <w:rFonts w:ascii="Times New Roman" w:hAnsi="Times New Roman" w:cs="Times New Roman"/>
          <w:sz w:val="28"/>
          <w:szCs w:val="28"/>
          <w:lang w:eastAsia="ru-RU"/>
        </w:rPr>
        <w:t> м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>лн.</w:t>
      </w:r>
      <w:r w:rsidR="00B3542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>руб., с ростом на</w:t>
      </w:r>
      <w:r w:rsidR="00E37942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4,</w:t>
      </w:r>
      <w:r w:rsidR="0029662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%, </w:t>
      </w:r>
      <w:r w:rsidR="00DB361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E37942" w:rsidRPr="008E4C33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B3618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– в сумме 54</w:t>
      </w:r>
      <w:r w:rsidR="007C600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957B1">
        <w:rPr>
          <w:rFonts w:ascii="Times New Roman" w:hAnsi="Times New Roman" w:cs="Times New Roman"/>
          <w:sz w:val="28"/>
          <w:szCs w:val="28"/>
          <w:lang w:eastAsia="ru-RU"/>
        </w:rPr>
        <w:t>698,6</w:t>
      </w:r>
      <w:r w:rsidR="007C600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>млн.</w:t>
      </w:r>
      <w:r w:rsidR="007C600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руб., с ростом на </w:t>
      </w:r>
      <w:r w:rsidR="00E37942" w:rsidRPr="008E4C33">
        <w:rPr>
          <w:rFonts w:ascii="Times New Roman" w:hAnsi="Times New Roman" w:cs="Times New Roman"/>
          <w:sz w:val="28"/>
          <w:szCs w:val="28"/>
          <w:lang w:eastAsia="ru-RU"/>
        </w:rPr>
        <w:t>5,7</w:t>
      </w:r>
      <w:r w:rsidR="004D60A0" w:rsidRPr="008E4C33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  <w:proofErr w:type="gramEnd"/>
    </w:p>
    <w:p w:rsidR="004D60A0" w:rsidRDefault="004D60A0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C33">
        <w:rPr>
          <w:rFonts w:ascii="Times New Roman" w:hAnsi="Times New Roman" w:cs="Times New Roman"/>
          <w:sz w:val="28"/>
          <w:szCs w:val="28"/>
        </w:rPr>
        <w:t>В разрезе налогов расчет прогноза поступления произведен следующим образом.</w:t>
      </w:r>
    </w:p>
    <w:p w:rsidR="00A25113" w:rsidRPr="008E4C33" w:rsidRDefault="00A25113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F40" w:rsidRPr="00531E77" w:rsidRDefault="00340F40" w:rsidP="006F6031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Налог на прибыль. </w:t>
      </w:r>
    </w:p>
    <w:p w:rsidR="00340F40" w:rsidRDefault="00340F40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CAD">
        <w:rPr>
          <w:rFonts w:ascii="Times New Roman" w:hAnsi="Times New Roman" w:cs="Times New Roman"/>
          <w:sz w:val="28"/>
          <w:szCs w:val="28"/>
        </w:rPr>
        <w:t xml:space="preserve">Для расчета </w:t>
      </w:r>
      <w:r>
        <w:rPr>
          <w:rFonts w:ascii="Times New Roman" w:hAnsi="Times New Roman" w:cs="Times New Roman"/>
          <w:sz w:val="28"/>
          <w:szCs w:val="28"/>
        </w:rPr>
        <w:t xml:space="preserve">прогноза поступления налога </w:t>
      </w:r>
      <w:r w:rsidRPr="00092CAD">
        <w:rPr>
          <w:rFonts w:ascii="Times New Roman" w:hAnsi="Times New Roman" w:cs="Times New Roman"/>
          <w:sz w:val="28"/>
          <w:szCs w:val="28"/>
        </w:rPr>
        <w:t>использованы показатели прогноза социально-экономического развития Ярославской области - прибыль прибыльных организаций и оценка ожидаемого поступления налога на прибыль в 2016 году в сумме 12</w:t>
      </w:r>
      <w:r w:rsidR="00B54714">
        <w:rPr>
          <w:rFonts w:ascii="Times New Roman" w:hAnsi="Times New Roman" w:cs="Times New Roman"/>
          <w:sz w:val="28"/>
          <w:szCs w:val="28"/>
        </w:rPr>
        <w:t> </w:t>
      </w:r>
      <w:r w:rsidR="009839B8">
        <w:rPr>
          <w:rFonts w:ascii="Times New Roman" w:hAnsi="Times New Roman" w:cs="Times New Roman"/>
          <w:sz w:val="28"/>
          <w:szCs w:val="28"/>
        </w:rPr>
        <w:t>618</w:t>
      </w:r>
      <w:r w:rsidRPr="00092CAD">
        <w:rPr>
          <w:rFonts w:ascii="Times New Roman" w:hAnsi="Times New Roman" w:cs="Times New Roman"/>
          <w:sz w:val="28"/>
          <w:szCs w:val="28"/>
        </w:rPr>
        <w:t xml:space="preserve"> млн.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102" w:rsidRDefault="00340F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В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году темп роста прибыли </w:t>
      </w:r>
      <w:r w:rsidRPr="00C46015">
        <w:rPr>
          <w:rFonts w:ascii="Times New Roman" w:hAnsi="Times New Roman" w:cs="Times New Roman"/>
          <w:bCs/>
          <w:sz w:val="28"/>
          <w:szCs w:val="28"/>
        </w:rPr>
        <w:t>прибыльных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организаций </w:t>
      </w:r>
      <w:r w:rsidR="00174102">
        <w:rPr>
          <w:rFonts w:ascii="Times New Roman" w:hAnsi="Times New Roman" w:cs="Times New Roman"/>
          <w:bCs/>
          <w:sz w:val="28"/>
          <w:szCs w:val="28"/>
        </w:rPr>
        <w:t xml:space="preserve">при благоприятном варианте развития </w:t>
      </w:r>
      <w:r w:rsidRPr="00531E77">
        <w:rPr>
          <w:rFonts w:ascii="Times New Roman" w:hAnsi="Times New Roman" w:cs="Times New Roman"/>
          <w:bCs/>
          <w:sz w:val="28"/>
          <w:szCs w:val="28"/>
        </w:rPr>
        <w:t>состав</w:t>
      </w:r>
      <w:r>
        <w:rPr>
          <w:rFonts w:ascii="Times New Roman" w:hAnsi="Times New Roman" w:cs="Times New Roman"/>
          <w:bCs/>
          <w:sz w:val="28"/>
          <w:szCs w:val="28"/>
        </w:rPr>
        <w:t>ит 102,9 процента.</w:t>
      </w:r>
    </w:p>
    <w:p w:rsidR="00174102" w:rsidRDefault="00340F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Расчет поступления налога в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году:</w:t>
      </w:r>
    </w:p>
    <w:p w:rsidR="00234F4C" w:rsidRDefault="00340F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F04C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39B8">
        <w:rPr>
          <w:rFonts w:ascii="Times New Roman" w:hAnsi="Times New Roman" w:cs="Times New Roman"/>
          <w:bCs/>
          <w:sz w:val="28"/>
          <w:szCs w:val="28"/>
        </w:rPr>
        <w:t>618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* 1</w:t>
      </w:r>
      <w:r>
        <w:rPr>
          <w:rFonts w:ascii="Times New Roman" w:hAnsi="Times New Roman" w:cs="Times New Roman"/>
          <w:bCs/>
          <w:sz w:val="28"/>
          <w:szCs w:val="28"/>
        </w:rPr>
        <w:t>02,9%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0CAB">
        <w:rPr>
          <w:rFonts w:ascii="Times New Roman" w:hAnsi="Times New Roman" w:cs="Times New Roman"/>
          <w:bCs/>
          <w:sz w:val="28"/>
          <w:szCs w:val="28"/>
        </w:rPr>
        <w:t xml:space="preserve">+ 200 млн. руб. 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=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4E5629">
        <w:rPr>
          <w:rFonts w:ascii="Times New Roman" w:hAnsi="Times New Roman" w:cs="Times New Roman"/>
          <w:bCs/>
          <w:sz w:val="28"/>
          <w:szCs w:val="28"/>
        </w:rPr>
        <w:t>3</w:t>
      </w:r>
      <w:r w:rsidR="00F04C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5629">
        <w:rPr>
          <w:rFonts w:ascii="Times New Roman" w:hAnsi="Times New Roman" w:cs="Times New Roman"/>
          <w:bCs/>
          <w:sz w:val="28"/>
          <w:szCs w:val="28"/>
        </w:rPr>
        <w:t>1</w:t>
      </w:r>
      <w:r w:rsidR="009839B8">
        <w:rPr>
          <w:rFonts w:ascii="Times New Roman" w:hAnsi="Times New Roman" w:cs="Times New Roman"/>
          <w:bCs/>
          <w:sz w:val="28"/>
          <w:szCs w:val="28"/>
        </w:rPr>
        <w:t>83,9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млн. руб.</w:t>
      </w:r>
      <w:r w:rsidR="00BC0CAB">
        <w:rPr>
          <w:rFonts w:ascii="Times New Roman" w:hAnsi="Times New Roman" w:cs="Times New Roman"/>
          <w:bCs/>
          <w:sz w:val="28"/>
          <w:szCs w:val="28"/>
        </w:rPr>
        <w:t>,</w:t>
      </w:r>
    </w:p>
    <w:p w:rsidR="00340F40" w:rsidRDefault="00234F4C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BC0CAB">
        <w:rPr>
          <w:rFonts w:ascii="Times New Roman" w:hAnsi="Times New Roman" w:cs="Times New Roman"/>
          <w:bCs/>
          <w:sz w:val="28"/>
          <w:szCs w:val="28"/>
        </w:rPr>
        <w:t>де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BC0CAB" w:rsidRPr="00531E77" w:rsidRDefault="00BC0CAB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200 млн. руб. – дополнительные поступления за счет сокращения количества возвратов по налогу на прибыль. </w:t>
      </w:r>
    </w:p>
    <w:p w:rsidR="00340F40" w:rsidRDefault="00340F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налога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31E7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39B8">
        <w:rPr>
          <w:rFonts w:ascii="Times New Roman" w:hAnsi="Times New Roman" w:cs="Times New Roman"/>
          <w:sz w:val="28"/>
          <w:szCs w:val="28"/>
        </w:rPr>
        <w:t>3</w:t>
      </w:r>
      <w:r w:rsidR="00F04C1C">
        <w:rPr>
          <w:rFonts w:ascii="Times New Roman" w:hAnsi="Times New Roman" w:cs="Times New Roman"/>
          <w:sz w:val="28"/>
          <w:szCs w:val="28"/>
        </w:rPr>
        <w:t xml:space="preserve"> </w:t>
      </w:r>
      <w:r w:rsidR="004E5629">
        <w:rPr>
          <w:rFonts w:ascii="Times New Roman" w:hAnsi="Times New Roman" w:cs="Times New Roman"/>
          <w:sz w:val="28"/>
          <w:szCs w:val="28"/>
        </w:rPr>
        <w:t>3</w:t>
      </w:r>
      <w:r w:rsidR="009839B8">
        <w:rPr>
          <w:rFonts w:ascii="Times New Roman" w:hAnsi="Times New Roman" w:cs="Times New Roman"/>
          <w:sz w:val="28"/>
          <w:szCs w:val="28"/>
        </w:rPr>
        <w:t>5</w:t>
      </w:r>
      <w:r w:rsidR="004E5629">
        <w:rPr>
          <w:rFonts w:ascii="Times New Roman" w:hAnsi="Times New Roman" w:cs="Times New Roman"/>
          <w:sz w:val="28"/>
          <w:szCs w:val="28"/>
        </w:rPr>
        <w:t>5</w:t>
      </w:r>
      <w:r w:rsidR="009839B8">
        <w:rPr>
          <w:rFonts w:ascii="Times New Roman" w:hAnsi="Times New Roman" w:cs="Times New Roman"/>
          <w:sz w:val="28"/>
          <w:szCs w:val="28"/>
        </w:rPr>
        <w:t>,</w:t>
      </w:r>
      <w:r w:rsidR="004E5629">
        <w:rPr>
          <w:rFonts w:ascii="Times New Roman" w:hAnsi="Times New Roman" w:cs="Times New Roman"/>
          <w:sz w:val="28"/>
          <w:szCs w:val="28"/>
        </w:rPr>
        <w:t>3</w:t>
      </w:r>
      <w:r w:rsidR="00B35423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млн. руб., при</w:t>
      </w:r>
      <w:r>
        <w:rPr>
          <w:rFonts w:ascii="Times New Roman" w:hAnsi="Times New Roman" w:cs="Times New Roman"/>
          <w:sz w:val="28"/>
          <w:szCs w:val="28"/>
        </w:rPr>
        <w:t xml:space="preserve"> темп</w:t>
      </w:r>
      <w:r w:rsidR="004E562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роста </w:t>
      </w:r>
      <w:r w:rsidRPr="00531E77">
        <w:rPr>
          <w:rFonts w:ascii="Times New Roman" w:hAnsi="Times New Roman" w:cs="Times New Roman"/>
          <w:sz w:val="28"/>
          <w:szCs w:val="28"/>
        </w:rPr>
        <w:t xml:space="preserve">прибыли прибыльных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531E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01,3%; в 2019 году – 13</w:t>
      </w:r>
      <w:r w:rsidR="00F04C1C">
        <w:rPr>
          <w:rFonts w:ascii="Times New Roman" w:hAnsi="Times New Roman" w:cs="Times New Roman"/>
          <w:sz w:val="28"/>
          <w:szCs w:val="28"/>
        </w:rPr>
        <w:t> </w:t>
      </w:r>
      <w:r w:rsidR="004E5629">
        <w:rPr>
          <w:rFonts w:ascii="Times New Roman" w:hAnsi="Times New Roman" w:cs="Times New Roman"/>
          <w:sz w:val="28"/>
          <w:szCs w:val="28"/>
        </w:rPr>
        <w:t>929,6</w:t>
      </w:r>
      <w:r w:rsidR="00B3542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31E77">
        <w:rPr>
          <w:rFonts w:ascii="Times New Roman" w:hAnsi="Times New Roman" w:cs="Times New Roman"/>
          <w:sz w:val="28"/>
          <w:szCs w:val="28"/>
        </w:rPr>
        <w:t>млн.</w:t>
      </w:r>
      <w:r w:rsidR="00B35423">
        <w:rPr>
          <w:rFonts w:ascii="Times New Roman" w:hAnsi="Times New Roman" w:cs="Times New Roman"/>
          <w:sz w:val="28"/>
          <w:szCs w:val="28"/>
        </w:rPr>
        <w:t> </w:t>
      </w:r>
      <w:r w:rsidRPr="00531E77">
        <w:rPr>
          <w:rFonts w:ascii="Times New Roman" w:hAnsi="Times New Roman" w:cs="Times New Roman"/>
          <w:sz w:val="28"/>
          <w:szCs w:val="28"/>
        </w:rPr>
        <w:t xml:space="preserve">руб., при </w:t>
      </w:r>
      <w:r>
        <w:rPr>
          <w:rFonts w:ascii="Times New Roman" w:hAnsi="Times New Roman" w:cs="Times New Roman"/>
          <w:sz w:val="28"/>
          <w:szCs w:val="28"/>
        </w:rPr>
        <w:t xml:space="preserve">темпе роста прибыли прибыльных организаций </w:t>
      </w:r>
      <w:r w:rsidR="00F04C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04,3</w:t>
      </w:r>
      <w:r w:rsidRPr="00531E77">
        <w:rPr>
          <w:rFonts w:ascii="Times New Roman" w:hAnsi="Times New Roman" w:cs="Times New Roman"/>
          <w:sz w:val="28"/>
          <w:szCs w:val="28"/>
        </w:rPr>
        <w:t>%.</w:t>
      </w:r>
    </w:p>
    <w:p w:rsidR="00623DAE" w:rsidRDefault="00174102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прогнозе поступления не учтено сокращение доходов областного бюджета в случае принятия на федеральном уровне решения о снижении </w:t>
      </w:r>
      <w:r>
        <w:rPr>
          <w:rFonts w:ascii="Times New Roman" w:hAnsi="Times New Roman" w:cs="Times New Roman"/>
          <w:sz w:val="28"/>
          <w:szCs w:val="28"/>
        </w:rPr>
        <w:lastRenderedPageBreak/>
        <w:t>ставки налога на прибыль, подлежащего зачислению в бюджеты субъектов Российской Федерации с 18 до 17 процентов. Выпадающие доходы составят в 2017 году около 7</w:t>
      </w:r>
      <w:r w:rsidR="00A80E89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A25113" w:rsidRDefault="00A25113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3DAE" w:rsidRPr="0014528B" w:rsidRDefault="00623DAE" w:rsidP="006F6031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14528B">
        <w:rPr>
          <w:rFonts w:ascii="Times New Roman" w:hAnsi="Times New Roman" w:cs="Times New Roman"/>
          <w:b/>
          <w:bCs/>
          <w:sz w:val="28"/>
          <w:szCs w:val="28"/>
        </w:rPr>
        <w:t>Налог на доходы физических лиц</w:t>
      </w:r>
      <w:r w:rsidR="007817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23DAE" w:rsidRDefault="00623DAE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6C">
        <w:rPr>
          <w:rFonts w:ascii="Times New Roman" w:hAnsi="Times New Roman" w:cs="Times New Roman"/>
          <w:bCs/>
          <w:sz w:val="28"/>
          <w:szCs w:val="28"/>
        </w:rPr>
        <w:t xml:space="preserve">Для расчета </w:t>
      </w:r>
      <w:r>
        <w:rPr>
          <w:rFonts w:ascii="Times New Roman" w:hAnsi="Times New Roman" w:cs="Times New Roman"/>
          <w:bCs/>
          <w:sz w:val="28"/>
          <w:szCs w:val="28"/>
        </w:rPr>
        <w:t>прогноза поступления</w:t>
      </w:r>
      <w:r w:rsidR="00613328">
        <w:rPr>
          <w:rFonts w:ascii="Times New Roman" w:hAnsi="Times New Roman" w:cs="Times New Roman"/>
          <w:bCs/>
          <w:sz w:val="28"/>
          <w:szCs w:val="28"/>
        </w:rPr>
        <w:t xml:space="preserve"> налога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1A6C">
        <w:rPr>
          <w:rFonts w:ascii="Times New Roman" w:hAnsi="Times New Roman" w:cs="Times New Roman"/>
          <w:bCs/>
          <w:sz w:val="28"/>
          <w:szCs w:val="28"/>
        </w:rPr>
        <w:t>использованы показатели прогноза социально-экономического развития Ярославской области -</w:t>
      </w:r>
      <w:r w:rsidRPr="00651A6C">
        <w:rPr>
          <w:rFonts w:ascii="Times New Roman" w:hAnsi="Times New Roman" w:cs="Times New Roman"/>
          <w:sz w:val="28"/>
          <w:szCs w:val="28"/>
        </w:rPr>
        <w:t xml:space="preserve"> темпы роста фонда начисленной заработной платы по полному кругу организаций и оценка ожидаемого поступления налога на доходы физических лиц в 2016 году в консолидированный бюджет области в сумме</w:t>
      </w:r>
      <w:r w:rsidRPr="00651A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41C8">
        <w:rPr>
          <w:rFonts w:ascii="Times New Roman" w:hAnsi="Times New Roman" w:cs="Times New Roman"/>
          <w:sz w:val="28"/>
          <w:szCs w:val="28"/>
        </w:rPr>
        <w:t>19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 w:rsidRPr="007F41C8">
        <w:rPr>
          <w:rFonts w:ascii="Times New Roman" w:hAnsi="Times New Roman" w:cs="Times New Roman"/>
          <w:sz w:val="28"/>
          <w:szCs w:val="28"/>
        </w:rPr>
        <w:t>8</w:t>
      </w:r>
      <w:r w:rsidR="00680C1E">
        <w:rPr>
          <w:rFonts w:ascii="Times New Roman" w:hAnsi="Times New Roman" w:cs="Times New Roman"/>
          <w:sz w:val="28"/>
          <w:szCs w:val="28"/>
        </w:rPr>
        <w:t>95,4</w:t>
      </w:r>
      <w:r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Pr="007F4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3A1" w:rsidRDefault="0065579B" w:rsidP="006F6031">
      <w:pPr>
        <w:pStyle w:val="ConsPlusNormal"/>
        <w:ind w:firstLine="709"/>
        <w:jc w:val="both"/>
      </w:pPr>
      <w:r>
        <w:t xml:space="preserve">В сумме ожидаемого поступления </w:t>
      </w:r>
      <w:r w:rsidR="00003EC4">
        <w:t>174 млн. </w:t>
      </w:r>
      <w:r w:rsidR="00623DAE" w:rsidRPr="00651A6C">
        <w:t xml:space="preserve">руб. </w:t>
      </w:r>
      <w:r>
        <w:t xml:space="preserve">составляют </w:t>
      </w:r>
      <w:r w:rsidR="00623DAE" w:rsidRPr="00651A6C">
        <w:rPr>
          <w:bCs/>
        </w:rPr>
        <w:t>фиксированные авансовые платежи с доходов, полученных физическими лицами, являющимися иностранными гражданами, осуществляющими трудовую деятельность на основании патента.</w:t>
      </w:r>
      <w:r>
        <w:rPr>
          <w:bCs/>
        </w:rPr>
        <w:t xml:space="preserve"> Темп роста данных доходов определен в соответствии с увеличением </w:t>
      </w:r>
      <w:r w:rsidR="009A73A1">
        <w:rPr>
          <w:bCs/>
        </w:rPr>
        <w:t xml:space="preserve">регионального коэффициента, </w:t>
      </w:r>
      <w:r w:rsidR="009A73A1">
        <w:t xml:space="preserve">отражающего региональные особенности рынка труда. Коэффициент устанавливается на соответствующий календарный год законом субъекта Российской Федерации. </w:t>
      </w:r>
      <w:r w:rsidR="00DB3618">
        <w:t>Ярославской областной</w:t>
      </w:r>
      <w:r w:rsidR="009A73A1">
        <w:t xml:space="preserve"> Дум</w:t>
      </w:r>
      <w:r w:rsidR="00DB3618">
        <w:t>ой принят</w:t>
      </w:r>
      <w:r w:rsidR="009A73A1">
        <w:t xml:space="preserve"> закон об увеличении коэффициента с 1,8 до 1,9 (</w:t>
      </w:r>
      <w:r w:rsidR="00246AC4">
        <w:t>рост 10</w:t>
      </w:r>
      <w:r w:rsidR="009A73A1">
        <w:t>5,6%).</w:t>
      </w:r>
    </w:p>
    <w:p w:rsidR="00623DAE" w:rsidRPr="00651A6C" w:rsidRDefault="00623DAE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1A6C">
        <w:rPr>
          <w:rFonts w:ascii="Times New Roman" w:hAnsi="Times New Roman" w:cs="Times New Roman"/>
          <w:sz w:val="28"/>
          <w:szCs w:val="28"/>
        </w:rPr>
        <w:t>В 2017 году фонд начисленной заработной платы по полному кругу организаций составит 147</w:t>
      </w:r>
      <w:r w:rsidR="00F04C1C">
        <w:rPr>
          <w:rFonts w:ascii="Times New Roman" w:hAnsi="Times New Roman" w:cs="Times New Roman"/>
          <w:sz w:val="28"/>
          <w:szCs w:val="28"/>
        </w:rPr>
        <w:t xml:space="preserve"> </w:t>
      </w:r>
      <w:r w:rsidRPr="00651A6C">
        <w:rPr>
          <w:rFonts w:ascii="Times New Roman" w:hAnsi="Times New Roman" w:cs="Times New Roman"/>
          <w:sz w:val="28"/>
          <w:szCs w:val="28"/>
        </w:rPr>
        <w:t>857,8 млн. руб., рост к 2016 году 106,5%.</w:t>
      </w:r>
    </w:p>
    <w:p w:rsidR="009A73A1" w:rsidRDefault="00623DAE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074">
        <w:rPr>
          <w:rFonts w:ascii="Times New Roman" w:hAnsi="Times New Roman" w:cs="Times New Roman"/>
          <w:sz w:val="28"/>
          <w:szCs w:val="28"/>
        </w:rPr>
        <w:t>Расчет поступления налога в 2017 году:</w:t>
      </w:r>
    </w:p>
    <w:p w:rsidR="00623DAE" w:rsidRPr="00E26074" w:rsidRDefault="00623DAE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074">
        <w:rPr>
          <w:rFonts w:ascii="Times New Roman" w:hAnsi="Times New Roman" w:cs="Times New Roman"/>
          <w:sz w:val="28"/>
          <w:szCs w:val="28"/>
        </w:rPr>
        <w:t>(19</w:t>
      </w:r>
      <w:r w:rsidR="00F04C1C">
        <w:rPr>
          <w:rFonts w:ascii="Times New Roman" w:hAnsi="Times New Roman" w:cs="Times New Roman"/>
          <w:sz w:val="28"/>
          <w:szCs w:val="28"/>
        </w:rPr>
        <w:t xml:space="preserve"> </w:t>
      </w:r>
      <w:r w:rsidRPr="00E26074">
        <w:rPr>
          <w:rFonts w:ascii="Times New Roman" w:hAnsi="Times New Roman" w:cs="Times New Roman"/>
          <w:sz w:val="28"/>
          <w:szCs w:val="28"/>
        </w:rPr>
        <w:t>8</w:t>
      </w:r>
      <w:r w:rsidR="00680C1E">
        <w:rPr>
          <w:rFonts w:ascii="Times New Roman" w:hAnsi="Times New Roman" w:cs="Times New Roman"/>
          <w:sz w:val="28"/>
          <w:szCs w:val="28"/>
        </w:rPr>
        <w:t>95,4</w:t>
      </w:r>
      <w:r w:rsidRPr="00E26074">
        <w:rPr>
          <w:rFonts w:ascii="Times New Roman" w:hAnsi="Times New Roman" w:cs="Times New Roman"/>
          <w:sz w:val="28"/>
          <w:szCs w:val="28"/>
        </w:rPr>
        <w:t xml:space="preserve"> – 174)</w:t>
      </w:r>
      <w:r w:rsidR="000D1EAA">
        <w:rPr>
          <w:rFonts w:ascii="Times New Roman" w:hAnsi="Times New Roman" w:cs="Times New Roman"/>
          <w:sz w:val="28"/>
          <w:szCs w:val="28"/>
        </w:rPr>
        <w:t>*106,5%*</w:t>
      </w:r>
      <w:r w:rsidRPr="00E26074">
        <w:rPr>
          <w:rFonts w:ascii="Times New Roman" w:hAnsi="Times New Roman" w:cs="Times New Roman"/>
          <w:sz w:val="28"/>
          <w:szCs w:val="28"/>
        </w:rPr>
        <w:t>70% +</w:t>
      </w:r>
      <w:r w:rsidR="000D1EAA">
        <w:rPr>
          <w:rFonts w:ascii="Times New Roman" w:hAnsi="Times New Roman" w:cs="Times New Roman"/>
          <w:sz w:val="28"/>
          <w:szCs w:val="28"/>
        </w:rPr>
        <w:t xml:space="preserve"> </w:t>
      </w:r>
      <w:r w:rsidRPr="00E26074">
        <w:rPr>
          <w:rFonts w:ascii="Times New Roman" w:hAnsi="Times New Roman" w:cs="Times New Roman"/>
          <w:sz w:val="28"/>
          <w:szCs w:val="28"/>
        </w:rPr>
        <w:t>(174*105,6%*85%) = 14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 w:rsidRPr="00E26074">
        <w:rPr>
          <w:rFonts w:ascii="Times New Roman" w:hAnsi="Times New Roman" w:cs="Times New Roman"/>
          <w:sz w:val="28"/>
          <w:szCs w:val="28"/>
        </w:rPr>
        <w:t>8</w:t>
      </w:r>
      <w:r w:rsidR="00680C1E">
        <w:rPr>
          <w:rFonts w:ascii="Times New Roman" w:hAnsi="Times New Roman" w:cs="Times New Roman"/>
          <w:sz w:val="28"/>
          <w:szCs w:val="28"/>
        </w:rPr>
        <w:t>5</w:t>
      </w:r>
      <w:r w:rsidRPr="00E26074">
        <w:rPr>
          <w:rFonts w:ascii="Times New Roman" w:hAnsi="Times New Roman" w:cs="Times New Roman"/>
          <w:sz w:val="28"/>
          <w:szCs w:val="28"/>
        </w:rPr>
        <w:t>8,</w:t>
      </w:r>
      <w:r w:rsidR="00680C1E">
        <w:rPr>
          <w:rFonts w:ascii="Times New Roman" w:hAnsi="Times New Roman" w:cs="Times New Roman"/>
          <w:sz w:val="28"/>
          <w:szCs w:val="28"/>
        </w:rPr>
        <w:t>5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 w:rsidRPr="00E26074">
        <w:rPr>
          <w:rFonts w:ascii="Times New Roman" w:hAnsi="Times New Roman" w:cs="Times New Roman"/>
          <w:sz w:val="28"/>
          <w:szCs w:val="28"/>
        </w:rPr>
        <w:t>млн.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 w:rsidRPr="00E26074">
        <w:rPr>
          <w:rFonts w:ascii="Times New Roman" w:hAnsi="Times New Roman" w:cs="Times New Roman"/>
          <w:sz w:val="28"/>
          <w:szCs w:val="28"/>
        </w:rPr>
        <w:t>руб.;</w:t>
      </w:r>
    </w:p>
    <w:p w:rsidR="00623DAE" w:rsidRPr="00E26074" w:rsidRDefault="00623DAE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074">
        <w:rPr>
          <w:rFonts w:ascii="Times New Roman" w:hAnsi="Times New Roman" w:cs="Times New Roman"/>
          <w:sz w:val="28"/>
          <w:szCs w:val="28"/>
        </w:rPr>
        <w:t>где:</w:t>
      </w:r>
    </w:p>
    <w:p w:rsidR="00623DAE" w:rsidRDefault="00623DAE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074">
        <w:rPr>
          <w:rFonts w:ascii="Times New Roman" w:hAnsi="Times New Roman" w:cs="Times New Roman"/>
          <w:sz w:val="28"/>
          <w:szCs w:val="28"/>
        </w:rPr>
        <w:t>- 70% норматив зачисления налога в областной бюджет;</w:t>
      </w:r>
    </w:p>
    <w:p w:rsidR="009A73A1" w:rsidRPr="00E26074" w:rsidRDefault="009A73A1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- 85%</w:t>
      </w:r>
      <w:r w:rsidRPr="009A73A1">
        <w:rPr>
          <w:rFonts w:ascii="Times New Roman" w:hAnsi="Times New Roman" w:cs="Times New Roman"/>
          <w:sz w:val="28"/>
          <w:szCs w:val="28"/>
        </w:rPr>
        <w:t xml:space="preserve"> </w:t>
      </w:r>
      <w:r w:rsidRPr="00E26074">
        <w:rPr>
          <w:rFonts w:ascii="Times New Roman" w:hAnsi="Times New Roman" w:cs="Times New Roman"/>
          <w:sz w:val="28"/>
          <w:szCs w:val="28"/>
        </w:rPr>
        <w:t>норматив зачисления</w:t>
      </w:r>
      <w:r>
        <w:rPr>
          <w:rFonts w:ascii="Times New Roman" w:hAnsi="Times New Roman" w:cs="Times New Roman"/>
          <w:sz w:val="28"/>
          <w:szCs w:val="28"/>
        </w:rPr>
        <w:t xml:space="preserve"> в областной бюджет налога, уплачиваемого иностранными гражданами в форме патента;</w:t>
      </w:r>
    </w:p>
    <w:p w:rsidR="00623DAE" w:rsidRPr="00E26074" w:rsidRDefault="00623DAE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6074">
        <w:rPr>
          <w:rFonts w:ascii="Times New Roman" w:hAnsi="Times New Roman" w:cs="Times New Roman"/>
          <w:sz w:val="28"/>
          <w:szCs w:val="28"/>
        </w:rPr>
        <w:t>- 105,6% темп роста авансовых платежей с доходов иностранных граждан, работающих по патентам.</w:t>
      </w:r>
    </w:p>
    <w:p w:rsidR="00623DAE" w:rsidRDefault="00623DAE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91B">
        <w:rPr>
          <w:rFonts w:ascii="Times New Roman" w:hAnsi="Times New Roman" w:cs="Times New Roman"/>
          <w:sz w:val="28"/>
          <w:szCs w:val="28"/>
        </w:rPr>
        <w:t>Прогноз поступления налога в 2018 году – 15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 w:rsidRPr="003A291B">
        <w:rPr>
          <w:rFonts w:ascii="Times New Roman" w:hAnsi="Times New Roman" w:cs="Times New Roman"/>
          <w:sz w:val="28"/>
          <w:szCs w:val="28"/>
        </w:rPr>
        <w:t>9</w:t>
      </w:r>
      <w:r w:rsidR="00680C1E">
        <w:rPr>
          <w:rFonts w:ascii="Times New Roman" w:hAnsi="Times New Roman" w:cs="Times New Roman"/>
          <w:sz w:val="28"/>
          <w:szCs w:val="28"/>
        </w:rPr>
        <w:t>87,7</w:t>
      </w:r>
      <w:r w:rsidRPr="003A291B">
        <w:rPr>
          <w:rFonts w:ascii="Times New Roman" w:hAnsi="Times New Roman" w:cs="Times New Roman"/>
          <w:sz w:val="28"/>
          <w:szCs w:val="28"/>
        </w:rPr>
        <w:t xml:space="preserve"> млн. руб., при темпе роста фонда начисленной заработной платы по п</w:t>
      </w:r>
      <w:r w:rsidR="00F04C1C">
        <w:rPr>
          <w:rFonts w:ascii="Times New Roman" w:hAnsi="Times New Roman" w:cs="Times New Roman"/>
          <w:sz w:val="28"/>
          <w:szCs w:val="28"/>
        </w:rPr>
        <w:t xml:space="preserve">олному кругу организаций </w:t>
      </w:r>
      <w:r w:rsidRPr="003A291B">
        <w:rPr>
          <w:rFonts w:ascii="Times New Roman" w:hAnsi="Times New Roman" w:cs="Times New Roman"/>
          <w:sz w:val="28"/>
          <w:szCs w:val="28"/>
        </w:rPr>
        <w:t>107,6%; в 2019 году – 17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 w:rsidR="00680C1E">
        <w:rPr>
          <w:rFonts w:ascii="Times New Roman" w:hAnsi="Times New Roman" w:cs="Times New Roman"/>
          <w:sz w:val="28"/>
          <w:szCs w:val="28"/>
        </w:rPr>
        <w:t>234,7</w:t>
      </w:r>
      <w:r w:rsidRPr="003A291B">
        <w:rPr>
          <w:rFonts w:ascii="Times New Roman" w:hAnsi="Times New Roman" w:cs="Times New Roman"/>
          <w:sz w:val="28"/>
          <w:szCs w:val="28"/>
        </w:rPr>
        <w:t xml:space="preserve"> млн. руб., при темпе роста фонда начисленной заработной платы по полному кругу организаций 107,8%.</w:t>
      </w:r>
    </w:p>
    <w:p w:rsidR="00A25113" w:rsidRPr="003A291B" w:rsidRDefault="00A25113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D42" w:rsidRPr="00531E77" w:rsidRDefault="009F3D42" w:rsidP="006F603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Акцизы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  <w:r w:rsidRPr="00531E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3D42" w:rsidRPr="00531E77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Для расчета пост</w:t>
      </w:r>
      <w:r>
        <w:rPr>
          <w:rFonts w:ascii="Times New Roman" w:hAnsi="Times New Roman" w:cs="Times New Roman"/>
          <w:sz w:val="28"/>
          <w:szCs w:val="28"/>
        </w:rPr>
        <w:t>упления акцизов использованы прогнозируемые</w:t>
      </w:r>
      <w:r w:rsidRPr="00531E77">
        <w:rPr>
          <w:rFonts w:ascii="Times New Roman" w:hAnsi="Times New Roman" w:cs="Times New Roman"/>
          <w:sz w:val="28"/>
          <w:szCs w:val="28"/>
        </w:rPr>
        <w:t xml:space="preserve"> объемы производства подакцизной продукции, </w:t>
      </w:r>
      <w:r>
        <w:rPr>
          <w:rFonts w:ascii="Times New Roman" w:hAnsi="Times New Roman" w:cs="Times New Roman"/>
          <w:sz w:val="28"/>
          <w:szCs w:val="28"/>
        </w:rPr>
        <w:t>ожидаемое поступление 2016</w:t>
      </w:r>
      <w:r w:rsidR="00F04C1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года, учтены изменения налогового и бюджетного законодательства.</w:t>
      </w:r>
    </w:p>
    <w:p w:rsidR="00FD3DD0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Pr="00531E77">
        <w:rPr>
          <w:rFonts w:ascii="Times New Roman" w:hAnsi="Times New Roman" w:cs="Times New Roman"/>
          <w:sz w:val="28"/>
          <w:szCs w:val="28"/>
        </w:rPr>
        <w:t xml:space="preserve"> году Налоговым кодексом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проектом Основных направлений налоговой политики </w:t>
      </w:r>
      <w:r w:rsidR="000A0863" w:rsidRPr="00531E77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>на 2017-2019 г</w:t>
      </w:r>
      <w:r w:rsidR="000A0863">
        <w:rPr>
          <w:rFonts w:ascii="Times New Roman" w:hAnsi="Times New Roman" w:cs="Times New Roman"/>
          <w:sz w:val="28"/>
          <w:szCs w:val="28"/>
        </w:rPr>
        <w:t>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предусмот</w:t>
      </w:r>
      <w:r w:rsidR="001C7F07">
        <w:rPr>
          <w:rFonts w:ascii="Times New Roman" w:hAnsi="Times New Roman" w:cs="Times New Roman"/>
          <w:sz w:val="28"/>
          <w:szCs w:val="28"/>
        </w:rPr>
        <w:t>рена индексация ставок акцизов</w:t>
      </w:r>
      <w:r>
        <w:rPr>
          <w:rFonts w:ascii="Times New Roman" w:hAnsi="Times New Roman" w:cs="Times New Roman"/>
          <w:sz w:val="28"/>
          <w:szCs w:val="28"/>
        </w:rPr>
        <w:t xml:space="preserve"> на пиво</w:t>
      </w:r>
      <w:r w:rsidR="00FD3DD0">
        <w:rPr>
          <w:rFonts w:ascii="Times New Roman" w:hAnsi="Times New Roman" w:cs="Times New Roman"/>
          <w:sz w:val="28"/>
          <w:szCs w:val="28"/>
        </w:rPr>
        <w:t xml:space="preserve"> и </w:t>
      </w:r>
      <w:r w:rsidRPr="00531E77">
        <w:rPr>
          <w:rFonts w:ascii="Times New Roman" w:hAnsi="Times New Roman" w:cs="Times New Roman"/>
          <w:sz w:val="28"/>
          <w:szCs w:val="28"/>
        </w:rPr>
        <w:t>на нефтепродукты</w:t>
      </w:r>
      <w:r w:rsidR="00FD3DD0">
        <w:rPr>
          <w:rFonts w:ascii="Times New Roman" w:hAnsi="Times New Roman" w:cs="Times New Roman"/>
          <w:sz w:val="28"/>
          <w:szCs w:val="28"/>
        </w:rPr>
        <w:t>.</w:t>
      </w:r>
    </w:p>
    <w:p w:rsidR="009F3D42" w:rsidRDefault="0064380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9F3D42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F3D42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6D648E">
        <w:rPr>
          <w:rFonts w:ascii="Times New Roman" w:hAnsi="Times New Roman" w:cs="Times New Roman"/>
          <w:sz w:val="28"/>
          <w:szCs w:val="28"/>
        </w:rPr>
        <w:t>«О федеральном бюджете на 2017</w:t>
      </w:r>
      <w:r w:rsidR="00DB3618">
        <w:rPr>
          <w:rFonts w:ascii="Times New Roman" w:hAnsi="Times New Roman" w:cs="Times New Roman"/>
          <w:sz w:val="28"/>
          <w:szCs w:val="28"/>
        </w:rPr>
        <w:t xml:space="preserve"> </w:t>
      </w:r>
      <w:r w:rsidR="006D648E">
        <w:rPr>
          <w:rFonts w:ascii="Times New Roman" w:hAnsi="Times New Roman" w:cs="Times New Roman"/>
          <w:sz w:val="28"/>
          <w:szCs w:val="28"/>
        </w:rPr>
        <w:t>год и на плановый период 2018 и 2019 годов» п</w:t>
      </w:r>
      <w:r w:rsidR="001B73CA">
        <w:rPr>
          <w:rFonts w:ascii="Times New Roman" w:hAnsi="Times New Roman" w:cs="Times New Roman"/>
          <w:sz w:val="28"/>
          <w:szCs w:val="28"/>
        </w:rPr>
        <w:t>редусмотрено</w:t>
      </w:r>
      <w:r w:rsidR="009F3D42">
        <w:rPr>
          <w:rFonts w:ascii="Times New Roman" w:hAnsi="Times New Roman" w:cs="Times New Roman"/>
          <w:sz w:val="28"/>
          <w:szCs w:val="28"/>
        </w:rPr>
        <w:t>:</w:t>
      </w:r>
    </w:p>
    <w:p w:rsidR="000A0863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норматив </w:t>
      </w:r>
      <w:r w:rsidR="00EF565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числени</w:t>
      </w:r>
      <w:r w:rsidR="00EF56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акцизов на нефтепродукты в бюджет Я</w:t>
      </w:r>
      <w:r w:rsidR="00EF5659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  <w:r w:rsidR="000A0863">
        <w:rPr>
          <w:rFonts w:ascii="Times New Roman" w:hAnsi="Times New Roman" w:cs="Times New Roman"/>
          <w:sz w:val="28"/>
          <w:szCs w:val="28"/>
        </w:rPr>
        <w:t xml:space="preserve"> в размере 0,8978%</w:t>
      </w:r>
      <w:r w:rsidR="0016559F">
        <w:rPr>
          <w:rFonts w:ascii="Times New Roman" w:hAnsi="Times New Roman" w:cs="Times New Roman"/>
          <w:sz w:val="28"/>
          <w:szCs w:val="28"/>
        </w:rPr>
        <w:t xml:space="preserve"> (норматив зачисления акцизов на нефтепродукты в 2016 году 0,9376%)</w:t>
      </w:r>
      <w:r w:rsidR="000A086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D42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0863">
        <w:rPr>
          <w:rFonts w:ascii="Times New Roman" w:hAnsi="Times New Roman" w:cs="Times New Roman"/>
          <w:sz w:val="28"/>
          <w:szCs w:val="28"/>
        </w:rPr>
        <w:t>изменение</w:t>
      </w:r>
      <w:r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0A086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распределения акцизов на алкогольную продукцию между бюджетами субъектов </w:t>
      </w:r>
      <w:r w:rsidR="000A0863" w:rsidRPr="00531E77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D42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В разрезе подакцизных товаров расчет прогноза поступления следующий.</w:t>
      </w:r>
    </w:p>
    <w:p w:rsidR="00A25113" w:rsidRPr="00531E77" w:rsidRDefault="00A25113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D42" w:rsidRPr="00531E77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Акциз на пиво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  <w:r w:rsidRPr="00531E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3D42" w:rsidRDefault="008807C9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B68AC" w:rsidRPr="00092CAD">
        <w:rPr>
          <w:rFonts w:ascii="Times New Roman" w:hAnsi="Times New Roman" w:cs="Times New Roman"/>
          <w:sz w:val="28"/>
          <w:szCs w:val="28"/>
        </w:rPr>
        <w:t xml:space="preserve">асчет </w:t>
      </w:r>
      <w:r w:rsidR="00BB68AC">
        <w:rPr>
          <w:rFonts w:ascii="Times New Roman" w:hAnsi="Times New Roman" w:cs="Times New Roman"/>
          <w:sz w:val="28"/>
          <w:szCs w:val="28"/>
        </w:rPr>
        <w:t>прогноза поступления налога</w:t>
      </w:r>
      <w:r w:rsidR="009F3D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 исходя из</w:t>
      </w:r>
      <w:r w:rsidR="009F3D42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F3D42">
        <w:rPr>
          <w:rFonts w:ascii="Times New Roman" w:hAnsi="Times New Roman" w:cs="Times New Roman"/>
          <w:sz w:val="28"/>
          <w:szCs w:val="28"/>
        </w:rPr>
        <w:t xml:space="preserve"> реализации пива на территории области - 34</w:t>
      </w:r>
      <w:r w:rsidR="005D0C29">
        <w:rPr>
          <w:rFonts w:ascii="Times New Roman" w:hAnsi="Times New Roman" w:cs="Times New Roman"/>
          <w:sz w:val="28"/>
          <w:szCs w:val="28"/>
        </w:rPr>
        <w:t>0 млн. литров.</w:t>
      </w:r>
      <w:r w:rsidR="009F3D42">
        <w:rPr>
          <w:rFonts w:ascii="Times New Roman" w:hAnsi="Times New Roman" w:cs="Times New Roman"/>
          <w:sz w:val="28"/>
          <w:szCs w:val="28"/>
        </w:rPr>
        <w:t xml:space="preserve"> Прогноз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="009F3D42">
        <w:rPr>
          <w:rFonts w:ascii="Times New Roman" w:hAnsi="Times New Roman" w:cs="Times New Roman"/>
          <w:sz w:val="28"/>
          <w:szCs w:val="28"/>
        </w:rPr>
        <w:t>- 7140 млн.</w:t>
      </w:r>
      <w:r w:rsidR="00BB68AC">
        <w:rPr>
          <w:rFonts w:ascii="Times New Roman" w:hAnsi="Times New Roman" w:cs="Times New Roman"/>
          <w:sz w:val="28"/>
          <w:szCs w:val="28"/>
        </w:rPr>
        <w:t xml:space="preserve"> </w:t>
      </w:r>
      <w:r w:rsidR="009F3D42">
        <w:rPr>
          <w:rFonts w:ascii="Times New Roman" w:hAnsi="Times New Roman" w:cs="Times New Roman"/>
          <w:sz w:val="28"/>
          <w:szCs w:val="28"/>
        </w:rPr>
        <w:t>руб.</w:t>
      </w:r>
    </w:p>
    <w:p w:rsidR="00E13B47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340 млн.</w:t>
      </w:r>
      <w:r w:rsidR="00BB68AC">
        <w:rPr>
          <w:rFonts w:ascii="Times New Roman" w:hAnsi="Times New Roman" w:cs="Times New Roman"/>
          <w:sz w:val="28"/>
          <w:szCs w:val="28"/>
        </w:rPr>
        <w:t xml:space="preserve"> </w:t>
      </w:r>
      <w:r w:rsidR="008807C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* 21</w:t>
      </w:r>
      <w:r w:rsidR="00BB68AC">
        <w:rPr>
          <w:rFonts w:ascii="Times New Roman" w:hAnsi="Times New Roman" w:cs="Times New Roman"/>
          <w:sz w:val="28"/>
          <w:szCs w:val="28"/>
        </w:rPr>
        <w:t xml:space="preserve"> рубл</w:t>
      </w:r>
      <w:r w:rsidR="008807C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 = 7</w:t>
      </w:r>
      <w:r w:rsidR="00F04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140</w:t>
      </w:r>
      <w:r w:rsidRPr="00531E77">
        <w:rPr>
          <w:rFonts w:ascii="Times New Roman" w:hAnsi="Times New Roman" w:cs="Times New Roman"/>
          <w:sz w:val="28"/>
          <w:szCs w:val="28"/>
        </w:rPr>
        <w:t xml:space="preserve"> млн.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3D42" w:rsidRDefault="001D47B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3D42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3D42" w:rsidRPr="00531E77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руб</w:t>
      </w:r>
      <w:r w:rsidR="008807C9">
        <w:rPr>
          <w:rFonts w:ascii="Times New Roman" w:hAnsi="Times New Roman" w:cs="Times New Roman"/>
          <w:sz w:val="28"/>
          <w:szCs w:val="28"/>
        </w:rPr>
        <w:t>ль</w:t>
      </w:r>
      <w:r w:rsidR="00BB6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B6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ставка акциза на пиво на 2017 год.</w:t>
      </w:r>
    </w:p>
    <w:p w:rsidR="009F3D42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2018-2019</w:t>
      </w:r>
      <w:r w:rsidRPr="00531E77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сохранен </w:t>
      </w:r>
      <w:r w:rsidRPr="00531E77">
        <w:rPr>
          <w:rFonts w:ascii="Times New Roman" w:hAnsi="Times New Roman" w:cs="Times New Roman"/>
          <w:sz w:val="28"/>
          <w:szCs w:val="28"/>
        </w:rPr>
        <w:t>объем реализации пива на уровне</w:t>
      </w:r>
      <w:r w:rsidR="00E13B47">
        <w:rPr>
          <w:rFonts w:ascii="Times New Roman" w:hAnsi="Times New Roman" w:cs="Times New Roman"/>
          <w:sz w:val="28"/>
          <w:szCs w:val="28"/>
        </w:rPr>
        <w:t xml:space="preserve"> </w:t>
      </w:r>
      <w:r w:rsidR="008807C9">
        <w:rPr>
          <w:rFonts w:ascii="Times New Roman" w:hAnsi="Times New Roman" w:cs="Times New Roman"/>
          <w:sz w:val="28"/>
          <w:szCs w:val="28"/>
        </w:rPr>
        <w:t>340</w:t>
      </w:r>
      <w:r w:rsidR="00F04C1C">
        <w:rPr>
          <w:rFonts w:ascii="Times New Roman" w:hAnsi="Times New Roman" w:cs="Times New Roman"/>
          <w:sz w:val="28"/>
          <w:szCs w:val="28"/>
        </w:rPr>
        <w:t> </w:t>
      </w:r>
      <w:r w:rsidR="008807C9">
        <w:rPr>
          <w:rFonts w:ascii="Times New Roman" w:hAnsi="Times New Roman" w:cs="Times New Roman"/>
          <w:sz w:val="28"/>
          <w:szCs w:val="28"/>
        </w:rPr>
        <w:t>млн. литров</w:t>
      </w:r>
      <w:r>
        <w:rPr>
          <w:rFonts w:ascii="Times New Roman" w:hAnsi="Times New Roman" w:cs="Times New Roman"/>
          <w:sz w:val="28"/>
          <w:szCs w:val="28"/>
        </w:rPr>
        <w:t xml:space="preserve">, ставка </w:t>
      </w:r>
      <w:r w:rsidR="008807C9">
        <w:rPr>
          <w:rFonts w:ascii="Times New Roman" w:hAnsi="Times New Roman" w:cs="Times New Roman"/>
          <w:sz w:val="28"/>
          <w:szCs w:val="28"/>
        </w:rPr>
        <w:t xml:space="preserve">акциза </w:t>
      </w:r>
      <w:r>
        <w:rPr>
          <w:rFonts w:ascii="Times New Roman" w:hAnsi="Times New Roman" w:cs="Times New Roman"/>
          <w:sz w:val="28"/>
          <w:szCs w:val="28"/>
        </w:rPr>
        <w:t>проиндексирована на уровень инфляции в соответствии с прогнозом социально-экономического развития Р</w:t>
      </w:r>
      <w:r w:rsidR="00095CEA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95CEA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на 2017-2019 г</w:t>
      </w:r>
      <w:r w:rsidR="00095CEA">
        <w:rPr>
          <w:rFonts w:ascii="Times New Roman" w:hAnsi="Times New Roman" w:cs="Times New Roman"/>
          <w:sz w:val="28"/>
          <w:szCs w:val="28"/>
        </w:rPr>
        <w:t>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1E77">
        <w:rPr>
          <w:rFonts w:ascii="Times New Roman" w:hAnsi="Times New Roman" w:cs="Times New Roman"/>
          <w:sz w:val="28"/>
          <w:szCs w:val="28"/>
        </w:rPr>
        <w:t xml:space="preserve">Прогноз </w:t>
      </w:r>
      <w:r>
        <w:rPr>
          <w:rFonts w:ascii="Times New Roman" w:hAnsi="Times New Roman" w:cs="Times New Roman"/>
          <w:sz w:val="28"/>
          <w:szCs w:val="28"/>
        </w:rPr>
        <w:t>поступления акциза на 2018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 w:rsidRPr="002B64C4">
        <w:rPr>
          <w:rFonts w:ascii="Times New Roman" w:hAnsi="Times New Roman" w:cs="Times New Roman"/>
          <w:sz w:val="28"/>
          <w:szCs w:val="28"/>
        </w:rPr>
        <w:t>год –</w:t>
      </w:r>
      <w:r>
        <w:rPr>
          <w:rFonts w:ascii="Times New Roman" w:hAnsi="Times New Roman" w:cs="Times New Roman"/>
          <w:sz w:val="28"/>
          <w:szCs w:val="28"/>
        </w:rPr>
        <w:t>7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482,7 </w:t>
      </w:r>
      <w:r w:rsidRPr="002B64C4">
        <w:rPr>
          <w:rFonts w:ascii="Times New Roman" w:hAnsi="Times New Roman" w:cs="Times New Roman"/>
          <w:sz w:val="28"/>
          <w:szCs w:val="28"/>
        </w:rPr>
        <w:t>млн. руб., на 2019 год –</w:t>
      </w:r>
      <w:r>
        <w:rPr>
          <w:rFonts w:ascii="Times New Roman" w:hAnsi="Times New Roman" w:cs="Times New Roman"/>
          <w:sz w:val="28"/>
          <w:szCs w:val="28"/>
        </w:rPr>
        <w:t>7</w:t>
      </w:r>
      <w:r w:rsidR="00F04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804,5 </w:t>
      </w:r>
      <w:r w:rsidRPr="002B64C4">
        <w:rPr>
          <w:rFonts w:ascii="Times New Roman" w:hAnsi="Times New Roman" w:cs="Times New Roman"/>
          <w:sz w:val="28"/>
          <w:szCs w:val="28"/>
        </w:rPr>
        <w:t>млн.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113" w:rsidRDefault="00A25113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D42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Акциз на нефтепродукты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  <w:r w:rsidRPr="00531E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3D42" w:rsidRPr="000C39FF" w:rsidRDefault="00E13B47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произведен исходя из норматива зачисления </w:t>
      </w:r>
      <w:r w:rsidR="009E2B37">
        <w:rPr>
          <w:rFonts w:ascii="Times New Roman" w:hAnsi="Times New Roman" w:cs="Times New Roman"/>
          <w:sz w:val="28"/>
          <w:szCs w:val="28"/>
        </w:rPr>
        <w:t>в</w:t>
      </w:r>
      <w:r w:rsidR="0085193B">
        <w:rPr>
          <w:rFonts w:ascii="Times New Roman" w:hAnsi="Times New Roman" w:cs="Times New Roman"/>
          <w:sz w:val="28"/>
          <w:szCs w:val="28"/>
        </w:rPr>
        <w:t xml:space="preserve"> бюджеты субъектов Р</w:t>
      </w:r>
      <w:r w:rsidR="00095CE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85193B">
        <w:rPr>
          <w:rFonts w:ascii="Times New Roman" w:hAnsi="Times New Roman" w:cs="Times New Roman"/>
          <w:sz w:val="28"/>
          <w:szCs w:val="28"/>
        </w:rPr>
        <w:t>Ф</w:t>
      </w:r>
      <w:r w:rsidR="00095CEA">
        <w:rPr>
          <w:rFonts w:ascii="Times New Roman" w:hAnsi="Times New Roman" w:cs="Times New Roman"/>
          <w:sz w:val="28"/>
          <w:szCs w:val="28"/>
        </w:rPr>
        <w:t>едерации</w:t>
      </w:r>
      <w:r w:rsidR="0085193B">
        <w:rPr>
          <w:rFonts w:ascii="Times New Roman" w:hAnsi="Times New Roman" w:cs="Times New Roman"/>
          <w:sz w:val="28"/>
          <w:szCs w:val="28"/>
        </w:rPr>
        <w:t xml:space="preserve"> акциз</w:t>
      </w:r>
      <w:r w:rsidR="009E2B37">
        <w:rPr>
          <w:rFonts w:ascii="Times New Roman" w:hAnsi="Times New Roman" w:cs="Times New Roman"/>
          <w:sz w:val="28"/>
          <w:szCs w:val="28"/>
        </w:rPr>
        <w:t>ов</w:t>
      </w:r>
      <w:r w:rsidR="0085193B">
        <w:rPr>
          <w:rFonts w:ascii="Times New Roman" w:hAnsi="Times New Roman" w:cs="Times New Roman"/>
          <w:sz w:val="28"/>
          <w:szCs w:val="28"/>
        </w:rPr>
        <w:t xml:space="preserve"> на нефтепродукты </w:t>
      </w:r>
      <w:r w:rsidR="009E2B37">
        <w:rPr>
          <w:rFonts w:ascii="Times New Roman" w:hAnsi="Times New Roman" w:cs="Times New Roman"/>
          <w:sz w:val="28"/>
          <w:szCs w:val="28"/>
        </w:rPr>
        <w:t xml:space="preserve">- </w:t>
      </w:r>
      <w:r w:rsidR="0085193B">
        <w:rPr>
          <w:rFonts w:ascii="Times New Roman" w:hAnsi="Times New Roman" w:cs="Times New Roman"/>
          <w:sz w:val="28"/>
          <w:szCs w:val="28"/>
        </w:rPr>
        <w:t>88%</w:t>
      </w:r>
      <w:r w:rsidR="00BD4389">
        <w:rPr>
          <w:rFonts w:ascii="Times New Roman" w:hAnsi="Times New Roman" w:cs="Times New Roman"/>
          <w:sz w:val="28"/>
          <w:szCs w:val="28"/>
        </w:rPr>
        <w:t xml:space="preserve">. Порядок зачисления </w:t>
      </w:r>
      <w:proofErr w:type="gramStart"/>
      <w:r w:rsidR="00657A33">
        <w:rPr>
          <w:rFonts w:ascii="Times New Roman" w:hAnsi="Times New Roman" w:cs="Times New Roman"/>
          <w:sz w:val="28"/>
          <w:szCs w:val="28"/>
        </w:rPr>
        <w:t>акциза</w:t>
      </w:r>
      <w:proofErr w:type="gramEnd"/>
      <w:r w:rsidR="00657A33">
        <w:rPr>
          <w:rFonts w:ascii="Times New Roman" w:hAnsi="Times New Roman" w:cs="Times New Roman"/>
          <w:sz w:val="28"/>
          <w:szCs w:val="28"/>
        </w:rPr>
        <w:t xml:space="preserve"> </w:t>
      </w:r>
      <w:r w:rsidR="00BD4389">
        <w:rPr>
          <w:rFonts w:ascii="Times New Roman" w:hAnsi="Times New Roman" w:cs="Times New Roman"/>
          <w:sz w:val="28"/>
          <w:szCs w:val="28"/>
        </w:rPr>
        <w:t xml:space="preserve">в </w:t>
      </w:r>
      <w:r w:rsidR="00095CEA">
        <w:rPr>
          <w:rFonts w:ascii="Times New Roman" w:hAnsi="Times New Roman" w:cs="Times New Roman"/>
          <w:sz w:val="28"/>
          <w:szCs w:val="28"/>
        </w:rPr>
        <w:t xml:space="preserve">региональные </w:t>
      </w:r>
      <w:r w:rsidR="00BD4389">
        <w:rPr>
          <w:rFonts w:ascii="Times New Roman" w:hAnsi="Times New Roman" w:cs="Times New Roman"/>
          <w:sz w:val="28"/>
          <w:szCs w:val="28"/>
        </w:rPr>
        <w:t>бюджеты следующий: все поступления от налогоплательщиков зачисляются на единый счет Федерального казначейства, а затем перераспределяются в бюджеты регионов по нормативам</w:t>
      </w:r>
      <w:r w:rsidR="00657A33">
        <w:rPr>
          <w:rFonts w:ascii="Times New Roman" w:hAnsi="Times New Roman" w:cs="Times New Roman"/>
          <w:sz w:val="28"/>
          <w:szCs w:val="28"/>
        </w:rPr>
        <w:t>,</w:t>
      </w:r>
      <w:r w:rsidR="00AC7796">
        <w:rPr>
          <w:rFonts w:ascii="Times New Roman" w:hAnsi="Times New Roman" w:cs="Times New Roman"/>
          <w:sz w:val="28"/>
          <w:szCs w:val="28"/>
        </w:rPr>
        <w:t xml:space="preserve"> </w:t>
      </w:r>
      <w:r w:rsidR="00BD4389">
        <w:rPr>
          <w:rFonts w:ascii="Times New Roman" w:hAnsi="Times New Roman" w:cs="Times New Roman"/>
          <w:sz w:val="28"/>
          <w:szCs w:val="28"/>
        </w:rPr>
        <w:t>рассчитанным Минфином Ро</w:t>
      </w:r>
      <w:r w:rsidR="00657A33">
        <w:rPr>
          <w:rFonts w:ascii="Times New Roman" w:hAnsi="Times New Roman" w:cs="Times New Roman"/>
          <w:sz w:val="28"/>
          <w:szCs w:val="28"/>
        </w:rPr>
        <w:t>с</w:t>
      </w:r>
      <w:r w:rsidR="00BD4389">
        <w:rPr>
          <w:rFonts w:ascii="Times New Roman" w:hAnsi="Times New Roman" w:cs="Times New Roman"/>
          <w:sz w:val="28"/>
          <w:szCs w:val="28"/>
        </w:rPr>
        <w:t>сии</w:t>
      </w:r>
      <w:r w:rsidR="00657A33">
        <w:rPr>
          <w:rFonts w:ascii="Times New Roman" w:hAnsi="Times New Roman" w:cs="Times New Roman"/>
          <w:sz w:val="28"/>
          <w:szCs w:val="28"/>
        </w:rPr>
        <w:t xml:space="preserve"> </w:t>
      </w:r>
      <w:r w:rsidR="009F3D42" w:rsidRPr="00531E77">
        <w:rPr>
          <w:rFonts w:ascii="Times New Roman" w:hAnsi="Times New Roman" w:cs="Times New Roman"/>
          <w:sz w:val="28"/>
          <w:szCs w:val="28"/>
        </w:rPr>
        <w:t xml:space="preserve">исходя из удельных показателей протяженности автомобильных дорог, количества транспортных средств, объема розничной продажи нефтепродуктов на территории </w:t>
      </w:r>
      <w:r w:rsidR="009F3D42">
        <w:rPr>
          <w:rFonts w:ascii="Times New Roman" w:hAnsi="Times New Roman" w:cs="Times New Roman"/>
          <w:sz w:val="28"/>
          <w:szCs w:val="28"/>
        </w:rPr>
        <w:t>региона. На 2017 год норматив для Я</w:t>
      </w:r>
      <w:r w:rsidR="00657A33">
        <w:rPr>
          <w:rFonts w:ascii="Times New Roman" w:hAnsi="Times New Roman" w:cs="Times New Roman"/>
          <w:sz w:val="28"/>
          <w:szCs w:val="28"/>
        </w:rPr>
        <w:t xml:space="preserve">рославской области </w:t>
      </w:r>
      <w:r w:rsidR="009F3D42">
        <w:rPr>
          <w:rFonts w:ascii="Times New Roman" w:hAnsi="Times New Roman" w:cs="Times New Roman"/>
          <w:sz w:val="28"/>
          <w:szCs w:val="28"/>
        </w:rPr>
        <w:t>-</w:t>
      </w:r>
      <w:r w:rsidR="00657A33">
        <w:rPr>
          <w:rFonts w:ascii="Times New Roman" w:hAnsi="Times New Roman" w:cs="Times New Roman"/>
          <w:sz w:val="28"/>
          <w:szCs w:val="28"/>
        </w:rPr>
        <w:t xml:space="preserve"> </w:t>
      </w:r>
      <w:r w:rsidR="009F3D42">
        <w:rPr>
          <w:rFonts w:ascii="Times New Roman" w:hAnsi="Times New Roman" w:cs="Times New Roman"/>
          <w:sz w:val="28"/>
          <w:szCs w:val="28"/>
        </w:rPr>
        <w:t xml:space="preserve">0,8978%. </w:t>
      </w:r>
    </w:p>
    <w:p w:rsidR="00657A33" w:rsidRPr="00781783" w:rsidRDefault="00657A33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сумме акциза на нефтепродукты планируемого к поступлению в бюджет Ярославской области на </w:t>
      </w:r>
      <w:r w:rsidR="00FD4FE6">
        <w:rPr>
          <w:rFonts w:ascii="Times New Roman" w:hAnsi="Times New Roman" w:cs="Times New Roman"/>
          <w:sz w:val="28"/>
          <w:szCs w:val="28"/>
        </w:rPr>
        <w:t>дату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формирования областного бюджета главным администратором не представлена. Р</w:t>
      </w:r>
      <w:r w:rsidR="009F3D42">
        <w:rPr>
          <w:rFonts w:ascii="Times New Roman" w:hAnsi="Times New Roman" w:cs="Times New Roman"/>
          <w:sz w:val="28"/>
          <w:szCs w:val="28"/>
        </w:rPr>
        <w:t>асчет</w:t>
      </w:r>
      <w:r w:rsidR="00FD4FE6">
        <w:rPr>
          <w:rFonts w:ascii="Times New Roman" w:hAnsi="Times New Roman" w:cs="Times New Roman"/>
          <w:sz w:val="28"/>
          <w:szCs w:val="28"/>
        </w:rPr>
        <w:t xml:space="preserve"> прогноза поступления в 2017 году</w:t>
      </w:r>
      <w:r w:rsidR="009F3D42">
        <w:rPr>
          <w:rFonts w:ascii="Times New Roman" w:hAnsi="Times New Roman" w:cs="Times New Roman"/>
          <w:sz w:val="28"/>
          <w:szCs w:val="28"/>
        </w:rPr>
        <w:t xml:space="preserve"> произведен исходя </w:t>
      </w:r>
      <w:proofErr w:type="gramStart"/>
      <w:r w:rsidR="009F3D42">
        <w:rPr>
          <w:rFonts w:ascii="Times New Roman" w:hAnsi="Times New Roman" w:cs="Times New Roman"/>
          <w:sz w:val="28"/>
          <w:szCs w:val="28"/>
        </w:rPr>
        <w:t>из ожидаемого поступления акцизов на нефтепродукты в консолидированный бюджет области</w:t>
      </w:r>
      <w:r w:rsidR="00FD4FE6">
        <w:rPr>
          <w:rFonts w:ascii="Times New Roman" w:hAnsi="Times New Roman" w:cs="Times New Roman"/>
          <w:sz w:val="28"/>
          <w:szCs w:val="28"/>
        </w:rPr>
        <w:t xml:space="preserve"> в текущем году</w:t>
      </w:r>
      <w:r w:rsidR="009F3D42">
        <w:rPr>
          <w:rFonts w:ascii="Times New Roman" w:hAnsi="Times New Roman" w:cs="Times New Roman"/>
          <w:sz w:val="28"/>
          <w:szCs w:val="28"/>
        </w:rPr>
        <w:t xml:space="preserve"> в сумме</w:t>
      </w:r>
      <w:proofErr w:type="gramEnd"/>
      <w:r w:rsidR="009F3D42">
        <w:rPr>
          <w:rFonts w:ascii="Times New Roman" w:hAnsi="Times New Roman" w:cs="Times New Roman"/>
          <w:sz w:val="28"/>
          <w:szCs w:val="28"/>
        </w:rPr>
        <w:t xml:space="preserve"> 3</w:t>
      </w:r>
      <w:r w:rsidR="00F04C1C">
        <w:rPr>
          <w:rFonts w:ascii="Times New Roman" w:hAnsi="Times New Roman" w:cs="Times New Roman"/>
          <w:sz w:val="28"/>
          <w:szCs w:val="28"/>
        </w:rPr>
        <w:t xml:space="preserve"> </w:t>
      </w:r>
      <w:r w:rsidR="009F3D42">
        <w:rPr>
          <w:rFonts w:ascii="Times New Roman" w:hAnsi="Times New Roman" w:cs="Times New Roman"/>
          <w:sz w:val="28"/>
          <w:szCs w:val="28"/>
        </w:rPr>
        <w:t>8</w:t>
      </w:r>
      <w:r w:rsidR="009A559C">
        <w:rPr>
          <w:rFonts w:ascii="Times New Roman" w:hAnsi="Times New Roman" w:cs="Times New Roman"/>
          <w:sz w:val="28"/>
          <w:szCs w:val="28"/>
        </w:rPr>
        <w:t>67</w:t>
      </w:r>
      <w:r w:rsidR="00136B4B">
        <w:rPr>
          <w:rFonts w:ascii="Times New Roman" w:hAnsi="Times New Roman" w:cs="Times New Roman"/>
          <w:sz w:val="28"/>
          <w:szCs w:val="28"/>
        </w:rPr>
        <w:t>,3</w:t>
      </w:r>
      <w:r w:rsidR="009F3D42">
        <w:rPr>
          <w:rFonts w:ascii="Times New Roman" w:hAnsi="Times New Roman" w:cs="Times New Roman"/>
          <w:sz w:val="28"/>
          <w:szCs w:val="28"/>
        </w:rPr>
        <w:t xml:space="preserve"> млн. руб. с учетом роста ставок </w:t>
      </w:r>
      <w:r w:rsidR="009F3D42" w:rsidRPr="00781783">
        <w:rPr>
          <w:rFonts w:ascii="Times New Roman" w:hAnsi="Times New Roman" w:cs="Times New Roman"/>
          <w:sz w:val="28"/>
          <w:szCs w:val="28"/>
        </w:rPr>
        <w:t xml:space="preserve">акцизов и установленного норматива отчислений. </w:t>
      </w:r>
    </w:p>
    <w:p w:rsidR="00FD4FE6" w:rsidRPr="00781783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783">
        <w:rPr>
          <w:rFonts w:ascii="Times New Roman" w:hAnsi="Times New Roman" w:cs="Times New Roman"/>
          <w:sz w:val="28"/>
          <w:szCs w:val="28"/>
        </w:rPr>
        <w:t>3</w:t>
      </w:r>
      <w:r w:rsidR="00F04C1C">
        <w:rPr>
          <w:rFonts w:ascii="Times New Roman" w:hAnsi="Times New Roman" w:cs="Times New Roman"/>
          <w:sz w:val="28"/>
          <w:szCs w:val="28"/>
        </w:rPr>
        <w:t xml:space="preserve"> </w:t>
      </w:r>
      <w:r w:rsidRPr="00781783">
        <w:rPr>
          <w:rFonts w:ascii="Times New Roman" w:hAnsi="Times New Roman" w:cs="Times New Roman"/>
          <w:sz w:val="28"/>
          <w:szCs w:val="28"/>
        </w:rPr>
        <w:t>8</w:t>
      </w:r>
      <w:r w:rsidR="009A559C" w:rsidRPr="00781783">
        <w:rPr>
          <w:rFonts w:ascii="Times New Roman" w:hAnsi="Times New Roman" w:cs="Times New Roman"/>
          <w:sz w:val="28"/>
          <w:szCs w:val="28"/>
        </w:rPr>
        <w:t>67</w:t>
      </w:r>
      <w:r w:rsidR="003D5499" w:rsidRPr="00781783">
        <w:rPr>
          <w:rFonts w:ascii="Times New Roman" w:hAnsi="Times New Roman" w:cs="Times New Roman"/>
          <w:sz w:val="28"/>
          <w:szCs w:val="28"/>
        </w:rPr>
        <w:t>,3</w:t>
      </w:r>
      <w:r w:rsidR="00095CEA" w:rsidRPr="00781783">
        <w:rPr>
          <w:rFonts w:ascii="Times New Roman" w:hAnsi="Times New Roman" w:cs="Times New Roman"/>
          <w:sz w:val="28"/>
          <w:szCs w:val="28"/>
        </w:rPr>
        <w:t xml:space="preserve"> </w:t>
      </w:r>
      <w:r w:rsidRPr="00781783">
        <w:rPr>
          <w:rFonts w:ascii="Times New Roman" w:hAnsi="Times New Roman" w:cs="Times New Roman"/>
          <w:sz w:val="28"/>
          <w:szCs w:val="28"/>
        </w:rPr>
        <w:t>млн.</w:t>
      </w:r>
      <w:r w:rsidR="004F3B5A" w:rsidRPr="00781783">
        <w:rPr>
          <w:rFonts w:ascii="Times New Roman" w:hAnsi="Times New Roman" w:cs="Times New Roman"/>
          <w:sz w:val="28"/>
          <w:szCs w:val="28"/>
        </w:rPr>
        <w:t xml:space="preserve"> </w:t>
      </w:r>
      <w:r w:rsidR="009A559C" w:rsidRPr="00781783">
        <w:rPr>
          <w:rFonts w:ascii="Times New Roman" w:hAnsi="Times New Roman" w:cs="Times New Roman"/>
          <w:sz w:val="28"/>
          <w:szCs w:val="28"/>
        </w:rPr>
        <w:t>руб.*118</w:t>
      </w:r>
      <w:r w:rsidRPr="00781783">
        <w:rPr>
          <w:rFonts w:ascii="Times New Roman" w:hAnsi="Times New Roman" w:cs="Times New Roman"/>
          <w:sz w:val="28"/>
          <w:szCs w:val="28"/>
        </w:rPr>
        <w:t xml:space="preserve">% </w:t>
      </w:r>
      <w:r w:rsidR="0016559F" w:rsidRPr="00781783">
        <w:rPr>
          <w:rFonts w:ascii="Times New Roman" w:hAnsi="Times New Roman" w:cs="Times New Roman"/>
          <w:sz w:val="28"/>
          <w:szCs w:val="28"/>
        </w:rPr>
        <w:t>*</w:t>
      </w:r>
      <w:r w:rsidRPr="00781783">
        <w:rPr>
          <w:rFonts w:ascii="Times New Roman" w:hAnsi="Times New Roman" w:cs="Times New Roman"/>
          <w:sz w:val="28"/>
          <w:szCs w:val="28"/>
        </w:rPr>
        <w:t>0,8978%/0,9376%</w:t>
      </w:r>
      <w:r w:rsidR="0016559F" w:rsidRPr="00781783">
        <w:rPr>
          <w:rFonts w:ascii="Times New Roman" w:hAnsi="Times New Roman" w:cs="Times New Roman"/>
          <w:sz w:val="28"/>
          <w:szCs w:val="28"/>
        </w:rPr>
        <w:t xml:space="preserve"> * 90%</w:t>
      </w:r>
      <w:r w:rsidR="00FD4FE6" w:rsidRPr="00781783">
        <w:rPr>
          <w:rFonts w:ascii="Times New Roman" w:hAnsi="Times New Roman" w:cs="Times New Roman"/>
          <w:sz w:val="28"/>
          <w:szCs w:val="28"/>
        </w:rPr>
        <w:t xml:space="preserve"> = 3</w:t>
      </w:r>
      <w:r w:rsidR="00F04C1C">
        <w:rPr>
          <w:rFonts w:ascii="Times New Roman" w:hAnsi="Times New Roman" w:cs="Times New Roman"/>
          <w:sz w:val="28"/>
          <w:szCs w:val="28"/>
        </w:rPr>
        <w:t xml:space="preserve"> </w:t>
      </w:r>
      <w:r w:rsidR="00FD4FE6" w:rsidRPr="00781783">
        <w:rPr>
          <w:rFonts w:ascii="Times New Roman" w:hAnsi="Times New Roman" w:cs="Times New Roman"/>
          <w:sz w:val="28"/>
          <w:szCs w:val="28"/>
        </w:rPr>
        <w:t>932,7 млн. руб.</w:t>
      </w:r>
    </w:p>
    <w:p w:rsidR="009F3D42" w:rsidRPr="00781783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783">
        <w:rPr>
          <w:rFonts w:ascii="Times New Roman" w:hAnsi="Times New Roman" w:cs="Times New Roman"/>
          <w:sz w:val="28"/>
          <w:szCs w:val="28"/>
        </w:rPr>
        <w:t>где:</w:t>
      </w:r>
    </w:p>
    <w:p w:rsidR="009F3D42" w:rsidRPr="00781783" w:rsidRDefault="0016559F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783">
        <w:rPr>
          <w:rFonts w:ascii="Times New Roman" w:hAnsi="Times New Roman" w:cs="Times New Roman"/>
          <w:sz w:val="28"/>
          <w:szCs w:val="28"/>
        </w:rPr>
        <w:t>118</w:t>
      </w:r>
      <w:r w:rsidR="009F3D42" w:rsidRPr="00781783">
        <w:rPr>
          <w:rFonts w:ascii="Times New Roman" w:hAnsi="Times New Roman" w:cs="Times New Roman"/>
          <w:sz w:val="28"/>
          <w:szCs w:val="28"/>
        </w:rPr>
        <w:t>% -</w:t>
      </w:r>
      <w:r w:rsidRPr="00781783">
        <w:rPr>
          <w:rFonts w:ascii="Times New Roman" w:hAnsi="Times New Roman" w:cs="Times New Roman"/>
          <w:sz w:val="28"/>
          <w:szCs w:val="28"/>
        </w:rPr>
        <w:t xml:space="preserve"> </w:t>
      </w:r>
      <w:r w:rsidR="009F3D42" w:rsidRPr="00781783">
        <w:rPr>
          <w:rFonts w:ascii="Times New Roman" w:hAnsi="Times New Roman" w:cs="Times New Roman"/>
          <w:sz w:val="28"/>
          <w:szCs w:val="28"/>
        </w:rPr>
        <w:t xml:space="preserve">средний темп роста </w:t>
      </w:r>
      <w:r w:rsidR="00657A33" w:rsidRPr="00781783">
        <w:rPr>
          <w:rFonts w:ascii="Times New Roman" w:hAnsi="Times New Roman" w:cs="Times New Roman"/>
          <w:sz w:val="28"/>
          <w:szCs w:val="28"/>
        </w:rPr>
        <w:t>ставок акцизов на нефтепродукты;</w:t>
      </w:r>
    </w:p>
    <w:p w:rsidR="009F3D42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618">
        <w:rPr>
          <w:rFonts w:ascii="Times New Roman" w:hAnsi="Times New Roman" w:cs="Times New Roman"/>
          <w:sz w:val="28"/>
          <w:szCs w:val="28"/>
        </w:rPr>
        <w:t>0,8978% и 0,9376% -</w:t>
      </w:r>
      <w:r w:rsidR="00FD4FE6" w:rsidRPr="00DB3618">
        <w:rPr>
          <w:rFonts w:ascii="Times New Roman" w:hAnsi="Times New Roman" w:cs="Times New Roman"/>
          <w:sz w:val="28"/>
          <w:szCs w:val="28"/>
        </w:rPr>
        <w:t xml:space="preserve"> </w:t>
      </w:r>
      <w:r w:rsidRPr="00DB3618"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FD4FE6" w:rsidRPr="00DB3618">
        <w:rPr>
          <w:rFonts w:ascii="Times New Roman" w:hAnsi="Times New Roman" w:cs="Times New Roman"/>
          <w:sz w:val="28"/>
          <w:szCs w:val="28"/>
        </w:rPr>
        <w:t>зачис</w:t>
      </w:r>
      <w:r w:rsidRPr="00DB3618">
        <w:rPr>
          <w:rFonts w:ascii="Times New Roman" w:hAnsi="Times New Roman" w:cs="Times New Roman"/>
          <w:sz w:val="28"/>
          <w:szCs w:val="28"/>
        </w:rPr>
        <w:t>лений в бюджет Я</w:t>
      </w:r>
      <w:r w:rsidR="00FD4FE6" w:rsidRPr="00DB3618">
        <w:rPr>
          <w:rFonts w:ascii="Times New Roman" w:hAnsi="Times New Roman" w:cs="Times New Roman"/>
          <w:sz w:val="28"/>
          <w:szCs w:val="28"/>
        </w:rPr>
        <w:t>рославской области</w:t>
      </w:r>
      <w:r w:rsidRPr="00DB3618">
        <w:rPr>
          <w:rFonts w:ascii="Times New Roman" w:hAnsi="Times New Roman" w:cs="Times New Roman"/>
          <w:sz w:val="28"/>
          <w:szCs w:val="28"/>
        </w:rPr>
        <w:t xml:space="preserve"> в 2017 и 2016 г</w:t>
      </w:r>
      <w:r w:rsidR="00FD4FE6" w:rsidRPr="00DB3618">
        <w:rPr>
          <w:rFonts w:ascii="Times New Roman" w:hAnsi="Times New Roman" w:cs="Times New Roman"/>
          <w:sz w:val="28"/>
          <w:szCs w:val="28"/>
        </w:rPr>
        <w:t>одах соответственно;</w:t>
      </w:r>
    </w:p>
    <w:p w:rsidR="00FD4FE6" w:rsidRDefault="00FD4FE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90% - </w:t>
      </w:r>
      <w:r w:rsidR="009F3D42" w:rsidRPr="00531E77">
        <w:rPr>
          <w:rFonts w:ascii="Times New Roman" w:hAnsi="Times New Roman" w:cs="Times New Roman"/>
          <w:sz w:val="28"/>
          <w:szCs w:val="28"/>
        </w:rPr>
        <w:t xml:space="preserve">норматив распределения акциза на нефтепродукты </w:t>
      </w:r>
      <w:r>
        <w:rPr>
          <w:rFonts w:ascii="Times New Roman" w:hAnsi="Times New Roman" w:cs="Times New Roman"/>
          <w:sz w:val="28"/>
          <w:szCs w:val="28"/>
        </w:rPr>
        <w:t>в областной бюджет (</w:t>
      </w:r>
      <w:r w:rsidR="009F3D42" w:rsidRPr="00531E77">
        <w:rPr>
          <w:rFonts w:ascii="Times New Roman" w:hAnsi="Times New Roman" w:cs="Times New Roman"/>
          <w:sz w:val="28"/>
          <w:szCs w:val="28"/>
        </w:rPr>
        <w:t xml:space="preserve">10% </w:t>
      </w:r>
      <w:r>
        <w:rPr>
          <w:rFonts w:ascii="Times New Roman" w:hAnsi="Times New Roman" w:cs="Times New Roman"/>
          <w:sz w:val="28"/>
          <w:szCs w:val="28"/>
        </w:rPr>
        <w:t xml:space="preserve"> зачисляется </w:t>
      </w:r>
      <w:r w:rsidR="009F3D42" w:rsidRPr="00531E77">
        <w:rPr>
          <w:rFonts w:ascii="Times New Roman" w:hAnsi="Times New Roman" w:cs="Times New Roman"/>
          <w:sz w:val="28"/>
          <w:szCs w:val="28"/>
        </w:rPr>
        <w:t>в бю</w:t>
      </w:r>
      <w:r>
        <w:rPr>
          <w:rFonts w:ascii="Times New Roman" w:hAnsi="Times New Roman" w:cs="Times New Roman"/>
          <w:sz w:val="28"/>
          <w:szCs w:val="28"/>
        </w:rPr>
        <w:t>джеты муниципальных образований).</w:t>
      </w:r>
    </w:p>
    <w:p w:rsidR="009F3D42" w:rsidRPr="00531E77" w:rsidRDefault="00FD4FE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F3D42" w:rsidRPr="00531E77">
        <w:rPr>
          <w:rFonts w:ascii="Times New Roman" w:hAnsi="Times New Roman" w:cs="Times New Roman"/>
          <w:sz w:val="28"/>
          <w:szCs w:val="28"/>
        </w:rPr>
        <w:t xml:space="preserve">рогноз поступления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F3D42">
        <w:rPr>
          <w:rFonts w:ascii="Times New Roman" w:hAnsi="Times New Roman" w:cs="Times New Roman"/>
          <w:sz w:val="28"/>
          <w:szCs w:val="28"/>
        </w:rPr>
        <w:t xml:space="preserve"> 2018</w:t>
      </w:r>
      <w:r w:rsidR="009F3D42" w:rsidRPr="00531E77">
        <w:rPr>
          <w:rFonts w:ascii="Times New Roman" w:hAnsi="Times New Roman" w:cs="Times New Roman"/>
          <w:sz w:val="28"/>
          <w:szCs w:val="28"/>
        </w:rPr>
        <w:t xml:space="preserve"> </w:t>
      </w:r>
      <w:r w:rsidR="00095CEA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95CEA">
        <w:rPr>
          <w:rFonts w:ascii="Times New Roman" w:hAnsi="Times New Roman" w:cs="Times New Roman"/>
          <w:sz w:val="28"/>
          <w:szCs w:val="28"/>
        </w:rPr>
        <w:t xml:space="preserve"> </w:t>
      </w:r>
      <w:r w:rsidR="009F3D42">
        <w:rPr>
          <w:rFonts w:ascii="Times New Roman" w:hAnsi="Times New Roman" w:cs="Times New Roman"/>
          <w:sz w:val="28"/>
          <w:szCs w:val="28"/>
        </w:rPr>
        <w:t>– 4</w:t>
      </w:r>
      <w:r w:rsidR="009E113A">
        <w:rPr>
          <w:rFonts w:ascii="Times New Roman" w:hAnsi="Times New Roman" w:cs="Times New Roman"/>
          <w:sz w:val="28"/>
          <w:szCs w:val="28"/>
        </w:rPr>
        <w:t> </w:t>
      </w:r>
      <w:r w:rsidR="009F3D42">
        <w:rPr>
          <w:rFonts w:ascii="Times New Roman" w:hAnsi="Times New Roman" w:cs="Times New Roman"/>
          <w:sz w:val="28"/>
          <w:szCs w:val="28"/>
        </w:rPr>
        <w:t>125,5 млн.</w:t>
      </w:r>
      <w:r w:rsidR="00095CEA">
        <w:rPr>
          <w:rFonts w:ascii="Times New Roman" w:hAnsi="Times New Roman" w:cs="Times New Roman"/>
          <w:sz w:val="28"/>
          <w:szCs w:val="28"/>
        </w:rPr>
        <w:t xml:space="preserve"> </w:t>
      </w:r>
      <w:r w:rsidR="009F3D42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9F3D42">
        <w:rPr>
          <w:rFonts w:ascii="Times New Roman" w:hAnsi="Times New Roman" w:cs="Times New Roman"/>
          <w:sz w:val="28"/>
          <w:szCs w:val="28"/>
        </w:rPr>
        <w:t xml:space="preserve"> 2019 г</w:t>
      </w:r>
      <w:r w:rsidR="00095CEA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95CEA">
        <w:rPr>
          <w:rFonts w:ascii="Times New Roman" w:hAnsi="Times New Roman" w:cs="Times New Roman"/>
          <w:sz w:val="28"/>
          <w:szCs w:val="28"/>
        </w:rPr>
        <w:t xml:space="preserve"> </w:t>
      </w:r>
      <w:r w:rsidR="009F3D42">
        <w:rPr>
          <w:rFonts w:ascii="Times New Roman" w:hAnsi="Times New Roman" w:cs="Times New Roman"/>
          <w:sz w:val="28"/>
          <w:szCs w:val="28"/>
        </w:rPr>
        <w:t>– 4</w:t>
      </w:r>
      <w:r w:rsidR="009E113A">
        <w:rPr>
          <w:rFonts w:ascii="Times New Roman" w:hAnsi="Times New Roman" w:cs="Times New Roman"/>
          <w:sz w:val="28"/>
          <w:szCs w:val="28"/>
        </w:rPr>
        <w:t> </w:t>
      </w:r>
      <w:r w:rsidR="009F3D42">
        <w:rPr>
          <w:rFonts w:ascii="Times New Roman" w:hAnsi="Times New Roman" w:cs="Times New Roman"/>
          <w:sz w:val="28"/>
          <w:szCs w:val="28"/>
        </w:rPr>
        <w:t xml:space="preserve">294,6 </w:t>
      </w:r>
      <w:r w:rsidR="009F3D42" w:rsidRPr="00531E77">
        <w:rPr>
          <w:rFonts w:ascii="Times New Roman" w:hAnsi="Times New Roman" w:cs="Times New Roman"/>
          <w:sz w:val="28"/>
          <w:szCs w:val="28"/>
        </w:rPr>
        <w:t xml:space="preserve">млн. руб. </w:t>
      </w:r>
    </w:p>
    <w:p w:rsidR="009F3D42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В бюджеты муниципальных образо</w:t>
      </w:r>
      <w:r>
        <w:rPr>
          <w:rFonts w:ascii="Times New Roman" w:hAnsi="Times New Roman" w:cs="Times New Roman"/>
          <w:sz w:val="28"/>
          <w:szCs w:val="28"/>
        </w:rPr>
        <w:t>ваний прогноз поступления в 2017 году –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437,0</w:t>
      </w:r>
      <w:r w:rsidR="00BF3DED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 xml:space="preserve">млн. руб., </w:t>
      </w:r>
      <w:r>
        <w:rPr>
          <w:rFonts w:ascii="Times New Roman" w:hAnsi="Times New Roman" w:cs="Times New Roman"/>
          <w:sz w:val="28"/>
          <w:szCs w:val="28"/>
        </w:rPr>
        <w:t>в 2018</w:t>
      </w:r>
      <w:r w:rsidR="005E65ED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E65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458,4 млн.</w:t>
      </w:r>
      <w:r w:rsidR="00095C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2019</w:t>
      </w:r>
      <w:r w:rsidR="005E65ED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E65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477,2</w:t>
      </w:r>
      <w:r w:rsidR="001333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млн.</w:t>
      </w:r>
      <w:r w:rsidR="001333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5E65ED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9E11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13A" w:rsidRPr="00531E77" w:rsidRDefault="009E113A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D42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5D9">
        <w:rPr>
          <w:rFonts w:ascii="Times New Roman" w:hAnsi="Times New Roman" w:cs="Times New Roman"/>
          <w:b/>
          <w:sz w:val="28"/>
          <w:szCs w:val="28"/>
        </w:rPr>
        <w:t>Акциз на алког</w:t>
      </w:r>
      <w:r>
        <w:rPr>
          <w:rFonts w:ascii="Times New Roman" w:hAnsi="Times New Roman" w:cs="Times New Roman"/>
          <w:b/>
          <w:sz w:val="28"/>
          <w:szCs w:val="28"/>
        </w:rPr>
        <w:t>ольную продукцию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</w:p>
    <w:p w:rsidR="009F3D42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закона </w:t>
      </w:r>
      <w:r w:rsidR="006D648E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федеральном бюджете на 2017</w:t>
      </w:r>
      <w:r w:rsidR="00CE7A3E">
        <w:rPr>
          <w:rFonts w:ascii="Times New Roman" w:hAnsi="Times New Roman" w:cs="Times New Roman"/>
          <w:sz w:val="28"/>
          <w:szCs w:val="28"/>
        </w:rPr>
        <w:t xml:space="preserve"> </w:t>
      </w:r>
      <w:r w:rsidR="006D648E">
        <w:rPr>
          <w:rFonts w:ascii="Times New Roman" w:hAnsi="Times New Roman" w:cs="Times New Roman"/>
          <w:sz w:val="28"/>
          <w:szCs w:val="28"/>
        </w:rPr>
        <w:t xml:space="preserve">год и на плановый период 2018 и </w:t>
      </w:r>
      <w:r>
        <w:rPr>
          <w:rFonts w:ascii="Times New Roman" w:hAnsi="Times New Roman" w:cs="Times New Roman"/>
          <w:sz w:val="28"/>
          <w:szCs w:val="28"/>
        </w:rPr>
        <w:t xml:space="preserve">2019 </w:t>
      </w:r>
      <w:r w:rsidR="006D648E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 новый порядок </w:t>
      </w:r>
      <w:r w:rsidR="006D648E">
        <w:rPr>
          <w:rFonts w:ascii="Times New Roman" w:hAnsi="Times New Roman" w:cs="Times New Roman"/>
          <w:sz w:val="28"/>
          <w:szCs w:val="28"/>
        </w:rPr>
        <w:t>зачис</w:t>
      </w:r>
      <w:r>
        <w:rPr>
          <w:rFonts w:ascii="Times New Roman" w:hAnsi="Times New Roman" w:cs="Times New Roman"/>
          <w:sz w:val="28"/>
          <w:szCs w:val="28"/>
        </w:rPr>
        <w:t xml:space="preserve">ления акцизов на алкогольную продукцию в бюджеты субъектов </w:t>
      </w:r>
      <w:r w:rsidR="006D648E" w:rsidRPr="00531E77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Доходы от акцизов, подлежащие зачислению в бюджеты субъектов </w:t>
      </w:r>
      <w:r w:rsidR="006D648E" w:rsidRPr="00531E7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D64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нормативу 40%, установленному ст.56 Бюджетного кодекса РФ, распределяются в следующем порядке:</w:t>
      </w:r>
    </w:p>
    <w:p w:rsidR="006D648E" w:rsidRDefault="009F3D42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- 80% - в бюджет субъекта по месту нахождения производителя алкогольной продукции, </w:t>
      </w:r>
      <w:r w:rsidRPr="00EA0E79">
        <w:rPr>
          <w:rFonts w:ascii="Times New Roman" w:hAnsi="Times New Roman" w:cs="Times New Roman"/>
          <w:sz w:val="28"/>
          <w:szCs w:val="28"/>
        </w:rPr>
        <w:t xml:space="preserve"> до дня, когда объем дохода</w:t>
      </w:r>
      <w:r>
        <w:rPr>
          <w:rFonts w:ascii="Times New Roman" w:hAnsi="Times New Roman" w:cs="Times New Roman"/>
          <w:sz w:val="28"/>
          <w:szCs w:val="28"/>
        </w:rPr>
        <w:t xml:space="preserve">  достигнет предельной величины, определенной</w:t>
      </w:r>
      <w:r w:rsidRPr="00EA0E79">
        <w:rPr>
          <w:rFonts w:ascii="Times New Roman" w:hAnsi="Times New Roman" w:cs="Times New Roman"/>
          <w:sz w:val="28"/>
          <w:szCs w:val="28"/>
        </w:rPr>
        <w:t xml:space="preserve"> в законопроекте для каждого региона</w:t>
      </w:r>
      <w:r>
        <w:rPr>
          <w:rFonts w:ascii="Times New Roman" w:hAnsi="Times New Roman" w:cs="Times New Roman"/>
          <w:sz w:val="28"/>
          <w:szCs w:val="28"/>
        </w:rPr>
        <w:t xml:space="preserve"> в сумме, не превышающей поступления с 1 сентября 2015 по 1 сентября 2016 г.</w:t>
      </w:r>
      <w:r w:rsidR="004F3B5A">
        <w:rPr>
          <w:rFonts w:ascii="Times New Roman" w:hAnsi="Times New Roman" w:cs="Times New Roman"/>
          <w:sz w:val="28"/>
          <w:szCs w:val="28"/>
        </w:rPr>
        <w:t xml:space="preserve"> Для Я</w:t>
      </w:r>
      <w:r w:rsidR="000418CC">
        <w:rPr>
          <w:rFonts w:ascii="Times New Roman" w:hAnsi="Times New Roman" w:cs="Times New Roman"/>
          <w:sz w:val="28"/>
          <w:szCs w:val="28"/>
        </w:rPr>
        <w:t>рославской области</w:t>
      </w:r>
      <w:r w:rsidR="004F3B5A">
        <w:rPr>
          <w:rFonts w:ascii="Times New Roman" w:hAnsi="Times New Roman" w:cs="Times New Roman"/>
          <w:sz w:val="28"/>
          <w:szCs w:val="28"/>
        </w:rPr>
        <w:t xml:space="preserve"> предельный объем доходов – 2</w:t>
      </w:r>
      <w:r w:rsidR="000022C5">
        <w:rPr>
          <w:rFonts w:ascii="Times New Roman" w:hAnsi="Times New Roman" w:cs="Times New Roman"/>
          <w:sz w:val="28"/>
          <w:szCs w:val="28"/>
        </w:rPr>
        <w:t>6</w:t>
      </w:r>
      <w:r w:rsidR="004F3B5A">
        <w:rPr>
          <w:rFonts w:ascii="Times New Roman" w:hAnsi="Times New Roman" w:cs="Times New Roman"/>
          <w:sz w:val="28"/>
          <w:szCs w:val="28"/>
        </w:rPr>
        <w:t>,9 млн. руб.</w:t>
      </w:r>
      <w:r w:rsidR="006D648E" w:rsidRPr="006D648E">
        <w:rPr>
          <w:rFonts w:ascii="Times New Roman" w:hAnsi="Times New Roman" w:cs="Times New Roman"/>
          <w:sz w:val="28"/>
          <w:szCs w:val="28"/>
        </w:rPr>
        <w:t xml:space="preserve"> </w:t>
      </w:r>
      <w:r w:rsidR="006D648E">
        <w:rPr>
          <w:rFonts w:ascii="Times New Roman" w:hAnsi="Times New Roman" w:cs="Times New Roman"/>
          <w:sz w:val="28"/>
          <w:szCs w:val="28"/>
        </w:rPr>
        <w:t>Однако, деятельность производителя алкогольной продукции ОАО ЛВЗ «Ярославский» прекращена с октября 2015 г</w:t>
      </w:r>
      <w:proofErr w:type="gramEnd"/>
      <w:r w:rsidR="006D648E">
        <w:rPr>
          <w:rFonts w:ascii="Times New Roman" w:hAnsi="Times New Roman" w:cs="Times New Roman"/>
          <w:sz w:val="28"/>
          <w:szCs w:val="28"/>
        </w:rPr>
        <w:t>., налогоплательщик признан банкротом, в отношении акционерного общества открыто конкурсное производство. Поступления акцизов от данного производителя в 2017 году не прогнозируется;</w:t>
      </w:r>
    </w:p>
    <w:p w:rsidR="00203F86" w:rsidRDefault="00203F8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- 20% </w:t>
      </w:r>
      <w:r w:rsidR="00F80543">
        <w:rPr>
          <w:rFonts w:ascii="Times New Roman" w:hAnsi="Times New Roman" w:cs="Times New Roman"/>
          <w:sz w:val="28"/>
          <w:szCs w:val="28"/>
        </w:rPr>
        <w:t>будет зачисляться</w:t>
      </w:r>
      <w:r w:rsidR="008C746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территориальный орган федерального казначейства для последующего распределения между бюджетами субъектов </w:t>
      </w:r>
      <w:r w:rsidR="009E113A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пропорционально объемам розничных продаж в порядке, установленном Правительством Р</w:t>
      </w:r>
      <w:r w:rsidR="000418CC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418CC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. Прогноз </w:t>
      </w:r>
      <w:r w:rsidR="004F3B5A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F80543">
        <w:rPr>
          <w:rFonts w:ascii="Times New Roman" w:hAnsi="Times New Roman" w:cs="Times New Roman"/>
          <w:sz w:val="28"/>
          <w:szCs w:val="28"/>
        </w:rPr>
        <w:t xml:space="preserve">в бюджет Ярославской области </w:t>
      </w:r>
      <w:r w:rsidR="004F3B5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144,5 млн.</w:t>
      </w:r>
      <w:r w:rsidR="00761F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F3B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рассчитан исходя из доли объема розничных продаж алкогольной продукции на территории </w:t>
      </w:r>
      <w:r w:rsidR="00F80543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C65E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общем объеме розничных продаж алкогольной продукции по </w:t>
      </w:r>
      <w:r w:rsidR="00761FE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80543">
        <w:rPr>
          <w:rFonts w:ascii="Times New Roman" w:hAnsi="Times New Roman" w:cs="Times New Roman"/>
          <w:sz w:val="28"/>
          <w:szCs w:val="28"/>
        </w:rPr>
        <w:t xml:space="preserve"> - 0,98%.</w:t>
      </w:r>
    </w:p>
    <w:p w:rsidR="00203F86" w:rsidRDefault="00203F8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прогноза акциза:</w:t>
      </w:r>
    </w:p>
    <w:p w:rsidR="004F3B5A" w:rsidRDefault="00203F8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14747,1 млн.</w:t>
      </w:r>
      <w:r w:rsidR="004F3B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*0,98% =144,5 млн. руб.</w:t>
      </w:r>
      <w:r w:rsidR="000022C5">
        <w:rPr>
          <w:rFonts w:ascii="Times New Roman" w:hAnsi="Times New Roman" w:cs="Times New Roman"/>
          <w:sz w:val="28"/>
          <w:szCs w:val="28"/>
        </w:rPr>
        <w:t>,</w:t>
      </w:r>
    </w:p>
    <w:p w:rsidR="00203F86" w:rsidRDefault="00F80543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03F86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80543" w:rsidRDefault="00203F8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747,1 млн.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руб. –</w:t>
      </w:r>
      <w:r w:rsidR="004F3B5A">
        <w:rPr>
          <w:rFonts w:ascii="Times New Roman" w:hAnsi="Times New Roman" w:cs="Times New Roman"/>
          <w:sz w:val="28"/>
          <w:szCs w:val="28"/>
        </w:rPr>
        <w:t xml:space="preserve"> прогноз поступления акцизов </w:t>
      </w:r>
      <w:r w:rsidR="00F80543">
        <w:rPr>
          <w:rFonts w:ascii="Times New Roman" w:hAnsi="Times New Roman" w:cs="Times New Roman"/>
          <w:sz w:val="28"/>
          <w:szCs w:val="28"/>
        </w:rPr>
        <w:t>на счет</w:t>
      </w:r>
      <w:r w:rsidR="00F80543" w:rsidRPr="00F80543">
        <w:rPr>
          <w:rFonts w:ascii="Times New Roman" w:hAnsi="Times New Roman" w:cs="Times New Roman"/>
          <w:sz w:val="28"/>
          <w:szCs w:val="28"/>
        </w:rPr>
        <w:t xml:space="preserve"> </w:t>
      </w:r>
      <w:r w:rsidR="00F80543">
        <w:rPr>
          <w:rFonts w:ascii="Times New Roman" w:hAnsi="Times New Roman" w:cs="Times New Roman"/>
          <w:sz w:val="28"/>
          <w:szCs w:val="28"/>
        </w:rPr>
        <w:t>уполномоченного территориального органа федерального казначейства для последующего распределения между субъектами Российской Федерации.</w:t>
      </w:r>
    </w:p>
    <w:p w:rsidR="00D718D6" w:rsidRDefault="00D718D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3F86">
        <w:rPr>
          <w:rFonts w:ascii="Times New Roman" w:hAnsi="Times New Roman" w:cs="Times New Roman"/>
          <w:sz w:val="28"/>
          <w:szCs w:val="28"/>
        </w:rPr>
        <w:t xml:space="preserve"> 2018</w:t>
      </w:r>
      <w:r w:rsidR="00F80543">
        <w:rPr>
          <w:rFonts w:ascii="Times New Roman" w:hAnsi="Times New Roman" w:cs="Times New Roman"/>
          <w:sz w:val="28"/>
          <w:szCs w:val="28"/>
        </w:rPr>
        <w:t xml:space="preserve">, </w:t>
      </w:r>
      <w:r w:rsidR="00203F86">
        <w:rPr>
          <w:rFonts w:ascii="Times New Roman" w:hAnsi="Times New Roman" w:cs="Times New Roman"/>
          <w:sz w:val="28"/>
          <w:szCs w:val="28"/>
        </w:rPr>
        <w:t>2019</w:t>
      </w:r>
      <w:r w:rsidR="00203F86" w:rsidRPr="00531E7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03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поступление акциза на алкогольную продукцию прогнозируется на уровне 2017 года, без индексации.</w:t>
      </w:r>
    </w:p>
    <w:p w:rsidR="00203F86" w:rsidRDefault="00203F8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Общий объем поступлени</w:t>
      </w:r>
      <w:r w:rsidR="00881699">
        <w:rPr>
          <w:rFonts w:ascii="Times New Roman" w:hAnsi="Times New Roman" w:cs="Times New Roman"/>
          <w:sz w:val="28"/>
          <w:szCs w:val="28"/>
        </w:rPr>
        <w:t>я</w:t>
      </w:r>
      <w:r w:rsidRPr="00531E77">
        <w:rPr>
          <w:rFonts w:ascii="Times New Roman" w:hAnsi="Times New Roman" w:cs="Times New Roman"/>
          <w:sz w:val="28"/>
          <w:szCs w:val="28"/>
        </w:rPr>
        <w:t xml:space="preserve"> акцизов в </w:t>
      </w:r>
      <w:r>
        <w:rPr>
          <w:rFonts w:ascii="Times New Roman" w:hAnsi="Times New Roman" w:cs="Times New Roman"/>
          <w:sz w:val="28"/>
          <w:szCs w:val="28"/>
        </w:rPr>
        <w:t>областной бюджет составит в 2017 году 11</w:t>
      </w:r>
      <w:r w:rsidR="008C7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217,2 млн. руб., в 2018</w:t>
      </w:r>
      <w:r w:rsidRPr="00531E77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="000D1EA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75</w:t>
      </w:r>
      <w:r w:rsidR="00881699">
        <w:rPr>
          <w:rFonts w:ascii="Times New Roman" w:hAnsi="Times New Roman" w:cs="Times New Roman"/>
          <w:sz w:val="28"/>
          <w:szCs w:val="28"/>
        </w:rPr>
        <w:t xml:space="preserve">2,7 </w:t>
      </w:r>
      <w:r>
        <w:rPr>
          <w:rFonts w:ascii="Times New Roman" w:hAnsi="Times New Roman" w:cs="Times New Roman"/>
          <w:sz w:val="28"/>
          <w:szCs w:val="28"/>
        </w:rPr>
        <w:t>млн. руб., в 2019</w:t>
      </w:r>
      <w:r w:rsidRPr="00531E77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31E77">
        <w:rPr>
          <w:rFonts w:ascii="Times New Roman" w:hAnsi="Times New Roman" w:cs="Times New Roman"/>
          <w:sz w:val="28"/>
          <w:szCs w:val="28"/>
        </w:rPr>
        <w:t>у –</w:t>
      </w:r>
      <w:r>
        <w:rPr>
          <w:rFonts w:ascii="Times New Roman" w:hAnsi="Times New Roman" w:cs="Times New Roman"/>
          <w:sz w:val="28"/>
          <w:szCs w:val="28"/>
        </w:rPr>
        <w:t>12</w:t>
      </w:r>
      <w:r w:rsidR="008C74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881699">
        <w:rPr>
          <w:rFonts w:ascii="Times New Roman" w:hAnsi="Times New Roman" w:cs="Times New Roman"/>
          <w:sz w:val="28"/>
          <w:szCs w:val="28"/>
        </w:rPr>
        <w:t>43,6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 xml:space="preserve">млн. руб. </w:t>
      </w:r>
    </w:p>
    <w:p w:rsidR="00203F86" w:rsidRPr="00531E77" w:rsidRDefault="00203F86" w:rsidP="00203F8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млн. руб.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127"/>
        <w:gridCol w:w="1984"/>
        <w:gridCol w:w="1950"/>
      </w:tblGrid>
      <w:tr w:rsidR="00203F86" w:rsidRPr="00531E77" w:rsidTr="00A40D8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86" w:rsidRPr="00531E77" w:rsidRDefault="00203F86" w:rsidP="00A40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Вид акциза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86" w:rsidRDefault="00203F86" w:rsidP="00A40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203F86" w:rsidRPr="00531E77" w:rsidRDefault="00203F86" w:rsidP="00A40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86" w:rsidRDefault="00203F86" w:rsidP="00A40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203F86" w:rsidRPr="00531E77" w:rsidRDefault="00203F86" w:rsidP="00A40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86" w:rsidRDefault="00203F86" w:rsidP="00A40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203F86" w:rsidRPr="00531E77" w:rsidRDefault="00203F86" w:rsidP="00A40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203F86" w:rsidRPr="00531E77" w:rsidTr="00A40D8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86" w:rsidRPr="00531E77" w:rsidRDefault="00203F86" w:rsidP="00682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Акцизы всего, в том числе</w:t>
            </w:r>
            <w:r w:rsidR="00682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2929" w:rsidRPr="00531E77">
              <w:rPr>
                <w:rFonts w:ascii="Times New Roman" w:hAnsi="Times New Roman" w:cs="Times New Roman"/>
                <w:sz w:val="28"/>
                <w:szCs w:val="28"/>
              </w:rPr>
              <w:t>по подакцизным товарам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A40D88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D718D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D718D6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D718D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18D6"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</w:tr>
      <w:tr w:rsidR="00203F86" w:rsidRPr="00531E77" w:rsidTr="00A40D8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86" w:rsidRPr="00531E77" w:rsidRDefault="00203F86" w:rsidP="00A40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-акциз на пиво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A40D88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A40D88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482,7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A40D88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804,5</w:t>
            </w:r>
          </w:p>
        </w:tc>
      </w:tr>
      <w:tr w:rsidR="00203F86" w:rsidRPr="00531E77" w:rsidTr="00A40D8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F86" w:rsidRPr="00531E77" w:rsidRDefault="00203F86" w:rsidP="00A40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-акциз на нефтепродукты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A40D88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932,7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A40D88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125,5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A40D88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294,6</w:t>
            </w:r>
          </w:p>
        </w:tc>
      </w:tr>
      <w:tr w:rsidR="00203F86" w:rsidRPr="00531E77" w:rsidTr="00A40D8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86" w:rsidRPr="00531E77" w:rsidRDefault="00203F86" w:rsidP="00A40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-акциз на алкогольную продукцию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Default="00203F86" w:rsidP="00A40D88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D718D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8D6"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86" w:rsidRPr="00531E77" w:rsidRDefault="00203F86" w:rsidP="00D718D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18D6"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</w:tr>
    </w:tbl>
    <w:p w:rsidR="00203F86" w:rsidRPr="00531E77" w:rsidRDefault="00203F86" w:rsidP="00203F8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022C5" w:rsidRDefault="00454A2B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345">
        <w:rPr>
          <w:rFonts w:ascii="Times New Roman" w:hAnsi="Times New Roman" w:cs="Times New Roman"/>
          <w:b/>
          <w:sz w:val="28"/>
          <w:szCs w:val="28"/>
        </w:rPr>
        <w:t>Налог, взимаемый по упрощенной системе налогообложения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  <w:r w:rsidRPr="006803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4A2B" w:rsidRPr="00680345" w:rsidRDefault="00454A2B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345">
        <w:rPr>
          <w:rFonts w:ascii="Times New Roman" w:hAnsi="Times New Roman" w:cs="Times New Roman"/>
          <w:sz w:val="28"/>
          <w:szCs w:val="28"/>
        </w:rPr>
        <w:t xml:space="preserve">Для расчета прогноза </w:t>
      </w:r>
      <w:r w:rsidR="00F32209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680345" w:rsidRPr="00680345">
        <w:rPr>
          <w:rFonts w:ascii="Times New Roman" w:hAnsi="Times New Roman" w:cs="Times New Roman"/>
          <w:sz w:val="28"/>
          <w:szCs w:val="28"/>
        </w:rPr>
        <w:t>использован</w:t>
      </w:r>
      <w:r w:rsidRPr="00680345">
        <w:rPr>
          <w:rFonts w:ascii="Times New Roman" w:hAnsi="Times New Roman" w:cs="Times New Roman"/>
          <w:sz w:val="28"/>
          <w:szCs w:val="28"/>
        </w:rPr>
        <w:t>  показател</w:t>
      </w:r>
      <w:r w:rsidR="00680345" w:rsidRPr="00680345">
        <w:rPr>
          <w:rFonts w:ascii="Times New Roman" w:hAnsi="Times New Roman" w:cs="Times New Roman"/>
          <w:sz w:val="28"/>
          <w:szCs w:val="28"/>
        </w:rPr>
        <w:t>ь</w:t>
      </w:r>
      <w:r w:rsidRPr="00680345">
        <w:rPr>
          <w:rFonts w:ascii="Times New Roman" w:hAnsi="Times New Roman" w:cs="Times New Roman"/>
          <w:sz w:val="28"/>
          <w:szCs w:val="28"/>
        </w:rPr>
        <w:t xml:space="preserve"> </w:t>
      </w:r>
      <w:r w:rsidR="00680345" w:rsidRPr="00680345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Ярославской области </w:t>
      </w:r>
      <w:r w:rsidRPr="00680345">
        <w:rPr>
          <w:rFonts w:ascii="Times New Roman" w:hAnsi="Times New Roman" w:cs="Times New Roman"/>
          <w:sz w:val="28"/>
          <w:szCs w:val="28"/>
        </w:rPr>
        <w:t>–</w:t>
      </w:r>
      <w:r w:rsidR="00680345" w:rsidRPr="00680345">
        <w:rPr>
          <w:rFonts w:ascii="Times New Roman" w:hAnsi="Times New Roman" w:cs="Times New Roman"/>
          <w:sz w:val="28"/>
          <w:szCs w:val="28"/>
        </w:rPr>
        <w:t xml:space="preserve"> темп роста</w:t>
      </w:r>
      <w:r w:rsidRPr="00680345">
        <w:rPr>
          <w:rFonts w:ascii="Times New Roman" w:hAnsi="Times New Roman" w:cs="Times New Roman"/>
          <w:sz w:val="28"/>
          <w:szCs w:val="28"/>
        </w:rPr>
        <w:t xml:space="preserve"> оборот</w:t>
      </w:r>
      <w:r w:rsidR="00680345" w:rsidRPr="00680345">
        <w:rPr>
          <w:rFonts w:ascii="Times New Roman" w:hAnsi="Times New Roman" w:cs="Times New Roman"/>
          <w:sz w:val="28"/>
          <w:szCs w:val="28"/>
        </w:rPr>
        <w:t>а</w:t>
      </w:r>
      <w:r w:rsidRPr="00680345">
        <w:rPr>
          <w:rFonts w:ascii="Times New Roman" w:hAnsi="Times New Roman" w:cs="Times New Roman"/>
          <w:sz w:val="28"/>
          <w:szCs w:val="28"/>
        </w:rPr>
        <w:t xml:space="preserve"> малых предприятий, включая </w:t>
      </w:r>
      <w:proofErr w:type="spellStart"/>
      <w:r w:rsidRPr="00680345">
        <w:rPr>
          <w:rFonts w:ascii="Times New Roman" w:hAnsi="Times New Roman" w:cs="Times New Roman"/>
          <w:sz w:val="28"/>
          <w:szCs w:val="28"/>
        </w:rPr>
        <w:t>микропред</w:t>
      </w:r>
      <w:r w:rsidR="00680345" w:rsidRPr="00680345">
        <w:rPr>
          <w:rFonts w:ascii="Times New Roman" w:hAnsi="Times New Roman" w:cs="Times New Roman"/>
          <w:sz w:val="28"/>
          <w:szCs w:val="28"/>
        </w:rPr>
        <w:t>приятия</w:t>
      </w:r>
      <w:proofErr w:type="spellEnd"/>
      <w:r w:rsidR="00680345" w:rsidRPr="00680345">
        <w:rPr>
          <w:rFonts w:ascii="Times New Roman" w:hAnsi="Times New Roman" w:cs="Times New Roman"/>
          <w:sz w:val="28"/>
          <w:szCs w:val="28"/>
        </w:rPr>
        <w:t xml:space="preserve"> </w:t>
      </w:r>
      <w:r w:rsidR="00FB63C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680345" w:rsidRPr="00680345">
        <w:rPr>
          <w:rFonts w:ascii="Times New Roman" w:hAnsi="Times New Roman" w:cs="Times New Roman"/>
          <w:sz w:val="28"/>
          <w:szCs w:val="28"/>
        </w:rPr>
        <w:t xml:space="preserve">- </w:t>
      </w:r>
      <w:r w:rsidRPr="00680345">
        <w:rPr>
          <w:rFonts w:ascii="Times New Roman" w:hAnsi="Times New Roman" w:cs="Times New Roman"/>
          <w:sz w:val="28"/>
          <w:szCs w:val="28"/>
        </w:rPr>
        <w:t>101,8%.</w:t>
      </w:r>
    </w:p>
    <w:p w:rsidR="00454A2B" w:rsidRPr="00680345" w:rsidRDefault="00454A2B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345">
        <w:rPr>
          <w:rFonts w:ascii="Times New Roman" w:hAnsi="Times New Roman" w:cs="Times New Roman"/>
          <w:sz w:val="28"/>
          <w:szCs w:val="28"/>
        </w:rPr>
        <w:t>Расчет налога:</w:t>
      </w:r>
    </w:p>
    <w:p w:rsidR="00454A2B" w:rsidRPr="00680345" w:rsidRDefault="00454A2B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345">
        <w:rPr>
          <w:rFonts w:ascii="Times New Roman" w:hAnsi="Times New Roman" w:cs="Times New Roman"/>
          <w:sz w:val="28"/>
          <w:szCs w:val="28"/>
        </w:rPr>
        <w:t>1</w:t>
      </w:r>
      <w:r w:rsidR="00204E1F">
        <w:rPr>
          <w:rFonts w:ascii="Times New Roman" w:hAnsi="Times New Roman" w:cs="Times New Roman"/>
          <w:sz w:val="28"/>
          <w:szCs w:val="28"/>
        </w:rPr>
        <w:t> </w:t>
      </w:r>
      <w:r w:rsidRPr="00680345">
        <w:rPr>
          <w:rFonts w:ascii="Times New Roman" w:hAnsi="Times New Roman" w:cs="Times New Roman"/>
          <w:sz w:val="28"/>
          <w:szCs w:val="28"/>
        </w:rPr>
        <w:t>857 млн. руб.*101,8% = 1890,4 млн. руб.,</w:t>
      </w:r>
    </w:p>
    <w:p w:rsidR="00454A2B" w:rsidRPr="00680345" w:rsidRDefault="00136B4B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54A2B" w:rsidRPr="00680345">
        <w:rPr>
          <w:rFonts w:ascii="Times New Roman" w:hAnsi="Times New Roman" w:cs="Times New Roman"/>
          <w:sz w:val="28"/>
          <w:szCs w:val="28"/>
        </w:rPr>
        <w:t>де</w:t>
      </w:r>
      <w:r w:rsidR="008B5F49">
        <w:rPr>
          <w:rFonts w:ascii="Times New Roman" w:hAnsi="Times New Roman" w:cs="Times New Roman"/>
          <w:sz w:val="28"/>
          <w:szCs w:val="28"/>
        </w:rPr>
        <w:t>:</w:t>
      </w:r>
    </w:p>
    <w:p w:rsidR="00454A2B" w:rsidRPr="00680345" w:rsidRDefault="00454A2B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345">
        <w:rPr>
          <w:rFonts w:ascii="Times New Roman" w:hAnsi="Times New Roman" w:cs="Times New Roman"/>
          <w:sz w:val="28"/>
          <w:szCs w:val="28"/>
        </w:rPr>
        <w:t>1</w:t>
      </w:r>
      <w:r w:rsidR="00204E1F">
        <w:rPr>
          <w:rFonts w:ascii="Times New Roman" w:hAnsi="Times New Roman" w:cs="Times New Roman"/>
          <w:sz w:val="28"/>
          <w:szCs w:val="28"/>
        </w:rPr>
        <w:t> </w:t>
      </w:r>
      <w:r w:rsidRPr="00680345">
        <w:rPr>
          <w:rFonts w:ascii="Times New Roman" w:hAnsi="Times New Roman" w:cs="Times New Roman"/>
          <w:sz w:val="28"/>
          <w:szCs w:val="28"/>
        </w:rPr>
        <w:t xml:space="preserve">857 млн. руб. – ожидаемое поступление </w:t>
      </w:r>
      <w:r w:rsidR="00680345" w:rsidRPr="00680345"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Pr="00680345">
        <w:rPr>
          <w:rFonts w:ascii="Times New Roman" w:hAnsi="Times New Roman" w:cs="Times New Roman"/>
          <w:sz w:val="28"/>
          <w:szCs w:val="28"/>
        </w:rPr>
        <w:t>налога, взимаемого по упрощенной системе налогообложения;</w:t>
      </w:r>
    </w:p>
    <w:p w:rsidR="00454A2B" w:rsidRDefault="00454A2B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345">
        <w:rPr>
          <w:rFonts w:ascii="Times New Roman" w:hAnsi="Times New Roman" w:cs="Times New Roman"/>
          <w:sz w:val="28"/>
          <w:szCs w:val="28"/>
        </w:rPr>
        <w:t>Прогноз поступления налога в 2018 году – 1</w:t>
      </w:r>
      <w:r w:rsidR="00204E1F">
        <w:rPr>
          <w:rFonts w:ascii="Times New Roman" w:hAnsi="Times New Roman" w:cs="Times New Roman"/>
          <w:sz w:val="28"/>
          <w:szCs w:val="28"/>
        </w:rPr>
        <w:t> 911,2 млн. руб., в 2019 </w:t>
      </w:r>
      <w:r w:rsidRPr="00680345">
        <w:rPr>
          <w:rFonts w:ascii="Times New Roman" w:hAnsi="Times New Roman" w:cs="Times New Roman"/>
          <w:sz w:val="28"/>
          <w:szCs w:val="28"/>
        </w:rPr>
        <w:t>году – 1</w:t>
      </w:r>
      <w:r w:rsidR="00204E1F">
        <w:rPr>
          <w:rFonts w:ascii="Times New Roman" w:hAnsi="Times New Roman" w:cs="Times New Roman"/>
          <w:sz w:val="28"/>
          <w:szCs w:val="28"/>
        </w:rPr>
        <w:t> </w:t>
      </w:r>
      <w:r w:rsidRPr="00680345">
        <w:rPr>
          <w:rFonts w:ascii="Times New Roman" w:hAnsi="Times New Roman" w:cs="Times New Roman"/>
          <w:sz w:val="28"/>
          <w:szCs w:val="28"/>
        </w:rPr>
        <w:t>928,4 млн. руб.</w:t>
      </w:r>
    </w:p>
    <w:p w:rsidR="00966B40" w:rsidRPr="00680345" w:rsidRDefault="00966B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63C4" w:rsidRDefault="00340F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/>
          <w:bCs/>
          <w:sz w:val="28"/>
          <w:szCs w:val="28"/>
        </w:rPr>
        <w:t>Налог на имущество организаций</w:t>
      </w:r>
      <w:r w:rsidR="0078178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0F40" w:rsidRPr="00531E77" w:rsidRDefault="00FB63C4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340F40" w:rsidRPr="00531E77">
        <w:rPr>
          <w:rFonts w:ascii="Times New Roman" w:hAnsi="Times New Roman" w:cs="Times New Roman"/>
          <w:bCs/>
          <w:sz w:val="28"/>
          <w:szCs w:val="28"/>
        </w:rPr>
        <w:t>ля расчета  использованы показатели прогноза социально-экономического развития Ярославской области: стоимость основных фондов по остаточной стоимости на конец года, совокупная доля недвижимого имущества в остаточной стоимости основных фондов</w:t>
      </w:r>
      <w:r w:rsidR="00FF5903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340F40" w:rsidRPr="00531E77">
        <w:rPr>
          <w:rFonts w:ascii="Times New Roman" w:hAnsi="Times New Roman" w:cs="Times New Roman"/>
          <w:bCs/>
          <w:sz w:val="28"/>
          <w:szCs w:val="28"/>
        </w:rPr>
        <w:t xml:space="preserve"> оценка ожидаемого поступления налога в 201</w:t>
      </w:r>
      <w:r w:rsidR="00340F40">
        <w:rPr>
          <w:rFonts w:ascii="Times New Roman" w:hAnsi="Times New Roman" w:cs="Times New Roman"/>
          <w:bCs/>
          <w:sz w:val="28"/>
          <w:szCs w:val="28"/>
        </w:rPr>
        <w:t>6</w:t>
      </w:r>
      <w:r w:rsidR="00340F40" w:rsidRPr="00531E77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="00FF5903">
        <w:rPr>
          <w:rFonts w:ascii="Times New Roman" w:hAnsi="Times New Roman" w:cs="Times New Roman"/>
          <w:bCs/>
          <w:sz w:val="28"/>
          <w:szCs w:val="28"/>
        </w:rPr>
        <w:t>.</w:t>
      </w:r>
    </w:p>
    <w:p w:rsidR="00340F40" w:rsidRPr="00531E77" w:rsidRDefault="00340F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Стоимость основных фондов по объектам недвижимого имущества</w:t>
      </w:r>
      <w:r w:rsidR="006A10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bCs/>
          <w:sz w:val="28"/>
          <w:szCs w:val="28"/>
        </w:rPr>
        <w:t>скорректирована на объекты инвестиционного проекта, реализуемог</w:t>
      </w:r>
      <w:proofErr w:type="gramStart"/>
      <w:r w:rsidRPr="00531E77">
        <w:rPr>
          <w:rFonts w:ascii="Times New Roman" w:hAnsi="Times New Roman" w:cs="Times New Roman"/>
          <w:bCs/>
          <w:sz w:val="28"/>
          <w:szCs w:val="28"/>
        </w:rPr>
        <w:t>о ООО</w:t>
      </w:r>
      <w:proofErr w:type="gramEnd"/>
      <w:r w:rsidRPr="00531E77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531E77">
        <w:rPr>
          <w:rFonts w:ascii="Times New Roman" w:hAnsi="Times New Roman" w:cs="Times New Roman"/>
          <w:bCs/>
          <w:sz w:val="28"/>
          <w:szCs w:val="28"/>
        </w:rPr>
        <w:t>Хуадянь</w:t>
      </w:r>
      <w:proofErr w:type="spellEnd"/>
      <w:r w:rsidRPr="00531E7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531E77">
        <w:rPr>
          <w:rFonts w:ascii="Times New Roman" w:hAnsi="Times New Roman" w:cs="Times New Roman"/>
          <w:bCs/>
          <w:sz w:val="28"/>
          <w:szCs w:val="28"/>
        </w:rPr>
        <w:t>Тенинской</w:t>
      </w:r>
      <w:proofErr w:type="spellEnd"/>
      <w:r w:rsidRPr="00531E77">
        <w:rPr>
          <w:rFonts w:ascii="Times New Roman" w:hAnsi="Times New Roman" w:cs="Times New Roman"/>
          <w:bCs/>
          <w:sz w:val="28"/>
          <w:szCs w:val="28"/>
        </w:rPr>
        <w:t xml:space="preserve"> ТЭЦ» в сумме </w:t>
      </w:r>
      <w:r>
        <w:rPr>
          <w:rFonts w:ascii="Times New Roman" w:hAnsi="Times New Roman" w:cs="Times New Roman"/>
          <w:bCs/>
          <w:sz w:val="28"/>
          <w:szCs w:val="28"/>
        </w:rPr>
        <w:t>22,3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млрд. руб., </w:t>
      </w:r>
      <w:r w:rsidR="006A10C6">
        <w:rPr>
          <w:rFonts w:ascii="Times New Roman" w:hAnsi="Times New Roman" w:cs="Times New Roman"/>
          <w:bCs/>
          <w:sz w:val="28"/>
          <w:szCs w:val="28"/>
        </w:rPr>
        <w:t>так как они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включены в перечень приоритетных инвестиционных проектов, с предоставлением государственной поддержки в форме налоговых льгот.</w:t>
      </w:r>
    </w:p>
    <w:p w:rsidR="00340F40" w:rsidRPr="00531E77" w:rsidRDefault="00340F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Стоимость основных фондов по объектам движимого имущества рассчитана с учетом вывода из налогообложения движимого имущества, поставленного на баланс организаций с 1 января 2013 года</w:t>
      </w:r>
      <w:r w:rsidR="00FB63C4">
        <w:rPr>
          <w:rFonts w:ascii="Times New Roman" w:hAnsi="Times New Roman" w:cs="Times New Roman"/>
          <w:bCs/>
          <w:sz w:val="28"/>
          <w:szCs w:val="28"/>
        </w:rPr>
        <w:t>, так как они не облагаются налогом на имущество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и среднегодового износа облагаемого движимого имущества </w:t>
      </w:r>
      <w:r w:rsidR="00321296">
        <w:rPr>
          <w:rFonts w:ascii="Times New Roman" w:hAnsi="Times New Roman" w:cs="Times New Roman"/>
          <w:bCs/>
          <w:sz w:val="28"/>
          <w:szCs w:val="28"/>
        </w:rPr>
        <w:t>-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10%.</w:t>
      </w:r>
    </w:p>
    <w:p w:rsidR="00340F40" w:rsidRDefault="00340F40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В прогнозе учтены дополнительн</w:t>
      </w:r>
      <w:r w:rsidR="00AC7144">
        <w:rPr>
          <w:rFonts w:ascii="Times New Roman" w:hAnsi="Times New Roman" w:cs="Times New Roman"/>
          <w:bCs/>
          <w:sz w:val="28"/>
          <w:szCs w:val="28"/>
        </w:rPr>
        <w:t>ы</w:t>
      </w:r>
      <w:r w:rsidRPr="00531E77">
        <w:rPr>
          <w:rFonts w:ascii="Times New Roman" w:hAnsi="Times New Roman" w:cs="Times New Roman"/>
          <w:bCs/>
          <w:sz w:val="28"/>
          <w:szCs w:val="28"/>
        </w:rPr>
        <w:t>е доходы по налогу</w:t>
      </w:r>
      <w:r w:rsidR="000C2EA7">
        <w:rPr>
          <w:rFonts w:ascii="Times New Roman" w:hAnsi="Times New Roman" w:cs="Times New Roman"/>
          <w:bCs/>
          <w:sz w:val="28"/>
          <w:szCs w:val="28"/>
        </w:rPr>
        <w:t>,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начисленн</w:t>
      </w:r>
      <w:r w:rsidR="00257AFC">
        <w:rPr>
          <w:rFonts w:ascii="Times New Roman" w:hAnsi="Times New Roman" w:cs="Times New Roman"/>
          <w:bCs/>
          <w:sz w:val="28"/>
          <w:szCs w:val="28"/>
        </w:rPr>
        <w:t>ому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по ставкам, установленным пунктом 3 статьи 380 Налогового кодекса Российской Федерации для магистральных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трубопроводов, железнодорожных </w:t>
      </w:r>
      <w:r w:rsidRPr="00531E77">
        <w:rPr>
          <w:rFonts w:ascii="Times New Roman" w:hAnsi="Times New Roman" w:cs="Times New Roman"/>
          <w:bCs/>
          <w:sz w:val="28"/>
          <w:szCs w:val="28"/>
        </w:rPr>
        <w:t>путей общего пользования, линий электропередач и т.п.: в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году - 1,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531E77">
        <w:rPr>
          <w:rFonts w:ascii="Times New Roman" w:hAnsi="Times New Roman" w:cs="Times New Roman"/>
          <w:bCs/>
          <w:sz w:val="28"/>
          <w:szCs w:val="28"/>
        </w:rPr>
        <w:t>%, в 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году – 1,</w:t>
      </w:r>
      <w:r>
        <w:rPr>
          <w:rFonts w:ascii="Times New Roman" w:hAnsi="Times New Roman" w:cs="Times New Roman"/>
          <w:bCs/>
          <w:sz w:val="28"/>
          <w:szCs w:val="28"/>
        </w:rPr>
        <w:t>9%, в 2019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2,2</w:t>
      </w:r>
      <w:r w:rsidRPr="00531E77">
        <w:rPr>
          <w:rFonts w:ascii="Times New Roman" w:hAnsi="Times New Roman" w:cs="Times New Roman"/>
          <w:bCs/>
          <w:sz w:val="28"/>
          <w:szCs w:val="28"/>
        </w:rPr>
        <w:t>%.</w:t>
      </w:r>
    </w:p>
    <w:p w:rsidR="00340F40" w:rsidRPr="00092CAD" w:rsidRDefault="00340F40" w:rsidP="00340F40">
      <w:pPr>
        <w:spacing w:after="0"/>
        <w:ind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531E77">
        <w:rPr>
          <w:rFonts w:ascii="Times New Roman" w:hAnsi="Times New Roman" w:cs="Times New Roman"/>
          <w:bCs/>
          <w:sz w:val="28"/>
          <w:szCs w:val="28"/>
        </w:rPr>
        <w:tab/>
      </w:r>
      <w:r w:rsidRPr="00531E77">
        <w:rPr>
          <w:rFonts w:ascii="Times New Roman" w:hAnsi="Times New Roman" w:cs="Times New Roman"/>
          <w:bCs/>
          <w:sz w:val="28"/>
          <w:szCs w:val="28"/>
        </w:rPr>
        <w:tab/>
      </w:r>
      <w:r w:rsidRPr="00531E77">
        <w:rPr>
          <w:rFonts w:ascii="Times New Roman" w:hAnsi="Times New Roman" w:cs="Times New Roman"/>
          <w:bCs/>
          <w:sz w:val="28"/>
          <w:szCs w:val="28"/>
        </w:rPr>
        <w:tab/>
      </w:r>
      <w:r w:rsidRPr="00531E77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</w:t>
      </w:r>
      <w:r w:rsidRPr="00092CAD">
        <w:rPr>
          <w:rFonts w:ascii="Times New Roman" w:hAnsi="Times New Roman" w:cs="Times New Roman"/>
          <w:bCs/>
          <w:sz w:val="24"/>
          <w:szCs w:val="24"/>
        </w:rPr>
        <w:t xml:space="preserve">млн. руб.      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828"/>
        <w:gridCol w:w="1276"/>
        <w:gridCol w:w="1134"/>
        <w:gridCol w:w="1241"/>
        <w:gridCol w:w="1196"/>
        <w:gridCol w:w="1106"/>
      </w:tblGrid>
      <w:tr w:rsidR="00340F40" w:rsidRPr="00531E77" w:rsidTr="00075111">
        <w:trPr>
          <w:trHeight w:val="62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8D49E7" w:rsidRDefault="00340F40" w:rsidP="0007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8D49E7" w:rsidRDefault="00340F40" w:rsidP="0007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8D49E7" w:rsidRDefault="00340F40" w:rsidP="0007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8D49E7" w:rsidRDefault="00340F40" w:rsidP="0007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8D49E7" w:rsidRDefault="00340F40" w:rsidP="0007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0F40" w:rsidRPr="008D49E7" w:rsidRDefault="00340F40" w:rsidP="0007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2019г.</w:t>
            </w:r>
          </w:p>
        </w:tc>
      </w:tr>
      <w:tr w:rsidR="00340F40" w:rsidRPr="00531E77" w:rsidTr="00075111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</w:tr>
      <w:tr w:rsidR="00340F40" w:rsidRPr="00531E77" w:rsidTr="00075111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Стоимость основных фондов по остаточной стоимости на конец года, в том числе: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5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44 005</w:t>
            </w: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598 131</w:t>
            </w: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633 648</w:t>
            </w: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686 326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734 396</w:t>
            </w:r>
          </w:p>
        </w:tc>
      </w:tr>
      <w:tr w:rsidR="00340F40" w:rsidRPr="00531E77" w:rsidTr="00075111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 стоимость основных фондов по объектам недвижимого имущества, за исключением   </w:t>
            </w:r>
            <w:proofErr w:type="spellStart"/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Хуадянь-Тенинской</w:t>
            </w:r>
            <w:proofErr w:type="spellEnd"/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ТЭС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380 804</w:t>
            </w: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092CAD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92CAD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92CA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380 202 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410 762</w:t>
            </w: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092CAD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450 284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485 577</w:t>
            </w:r>
          </w:p>
        </w:tc>
      </w:tr>
      <w:tr w:rsidR="00340F40" w:rsidRPr="00531E77" w:rsidTr="00075111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-стоимость основных фондов по объектам движимого имущества, приобретенного до 01.01.2013 г., с учетом среднегодового износа 10%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93 280</w:t>
            </w: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83 952</w:t>
            </w: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75 556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68 001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61 201</w:t>
            </w:r>
          </w:p>
        </w:tc>
      </w:tr>
      <w:tr w:rsidR="00340F40" w:rsidRPr="00531E77" w:rsidTr="00075111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8C7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Стоимость основных фондов по остаточной стоимости по объектам недвижимого имущества и движимого имущества, приобретенного до 01.01.2013 г., с учетом среднегодового износа 10%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47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4 083</w:t>
            </w: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464 153</w:t>
            </w: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486 318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518 284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546 778</w:t>
            </w:r>
          </w:p>
        </w:tc>
      </w:tr>
      <w:tr w:rsidR="00340F40" w:rsidRPr="00531E77" w:rsidTr="00075111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Среднегодовая стоимость основных фондов по остаточной стоимости по объектам недвижимого имущества   и движимого имущества, приобретенного до 01.01.2013г., с учетом среднегодового износа 10%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69 118</w:t>
            </w: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475 236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502 301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532 531</w:t>
            </w:r>
          </w:p>
        </w:tc>
      </w:tr>
      <w:tr w:rsidR="00340F40" w:rsidRPr="00531E77" w:rsidTr="00075111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Темп роста стоимости основных средств по объектам недвижимого имущества   и движимого имущества, приобретенного до 01.01.2013г., с учетом среднегодового износа 10%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   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101,3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105,7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106,0</w:t>
            </w:r>
          </w:p>
        </w:tc>
      </w:tr>
      <w:tr w:rsidR="00340F40" w:rsidRPr="00531E77" w:rsidTr="00075111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Ожидаемое поступление налога на имущество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5 648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340F40" w:rsidRPr="00531E77" w:rsidTr="00075111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Расчетная сумма налога на имущество организаций, ожидаемого к поступлению в 2016г. (восстановленная на 279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млн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., поступивших в 2015г.)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5 927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340F40" w:rsidRPr="00531E77" w:rsidTr="00075111">
        <w:trPr>
          <w:trHeight w:val="71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Ожидаемое поступление налога, начисленного по  ставкам, установленным п.3 ст.380 НК РФ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1 188,3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1 479,2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1 770,3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2 061,3</w:t>
            </w:r>
          </w:p>
        </w:tc>
      </w:tr>
      <w:tr w:rsidR="00340F40" w:rsidRPr="00531E77" w:rsidTr="00075111">
        <w:trPr>
          <w:trHeight w:val="11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Ожидаемое поступление налога без учета налога, начисленного по ставкам, установленным в соответствии с п.3 ст.380 НК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4 738,8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4 800,4</w:t>
            </w: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5 074,0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5 378,4</w:t>
            </w:r>
          </w:p>
        </w:tc>
      </w:tr>
      <w:tr w:rsidR="00340F40" w:rsidRPr="00531E77" w:rsidTr="00075111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0F40" w:rsidRPr="006361F9" w:rsidRDefault="00340F40" w:rsidP="00A4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Прогноз поступления налога на имущество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6 279,6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6 844,2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0F40" w:rsidRDefault="00340F40" w:rsidP="00A4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340F40" w:rsidRPr="006361F9" w:rsidRDefault="00340F40" w:rsidP="00221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7 439,7</w:t>
            </w:r>
          </w:p>
        </w:tc>
      </w:tr>
    </w:tbl>
    <w:p w:rsidR="0021554C" w:rsidRDefault="0021554C" w:rsidP="006F6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0023">
        <w:rPr>
          <w:rFonts w:ascii="Times New Roman" w:hAnsi="Times New Roman" w:cs="Times New Roman"/>
          <w:b/>
          <w:sz w:val="28"/>
          <w:szCs w:val="28"/>
        </w:rPr>
        <w:t xml:space="preserve">Транспортный налог </w:t>
      </w:r>
      <w:r w:rsidRPr="00E7002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894,6</w:t>
      </w:r>
      <w:r w:rsidRPr="00E700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рублей</w:t>
      </w:r>
      <w:proofErr w:type="gramStart"/>
      <w:r w:rsidRPr="00E7002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  <w:r w:rsidRPr="00E700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>окращение</w:t>
      </w:r>
      <w:r w:rsidRPr="00E700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ожидаемому 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79,4</w:t>
      </w:r>
      <w:r w:rsidRPr="00E700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</w:t>
      </w:r>
      <w:r w:rsidR="00483FE0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E700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руб. или 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8,2</w:t>
      </w:r>
      <w:r w:rsidRPr="00E70023">
        <w:rPr>
          <w:rFonts w:ascii="Times New Roman" w:eastAsia="Calibri" w:hAnsi="Times New Roman" w:cs="Times New Roman"/>
          <w:color w:val="000000"/>
          <w:sz w:val="28"/>
          <w:szCs w:val="28"/>
        </w:rPr>
        <w:t>%.</w:t>
      </w:r>
    </w:p>
    <w:p w:rsidR="00F32209" w:rsidRDefault="00F32209" w:rsidP="006F6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Для расчета прогноза поступления использованы показатели прогноза социально-экономического развития Ярославской области – наличие автомобилей всего, наличие легковых автомобилей у индивидуальных владельцев и  сумма о</w:t>
      </w:r>
      <w:r w:rsidR="002155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жидаемого поступления </w:t>
      </w:r>
      <w:r w:rsidR="001F28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налога </w:t>
      </w:r>
      <w:r w:rsidR="002155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текущем</w:t>
      </w:r>
      <w:r w:rsidR="0021554C" w:rsidRPr="00C661E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</w:t>
      </w:r>
      <w:r w:rsidR="002155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974</w:t>
      </w:r>
      <w:r w:rsidR="003A674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21554C">
        <w:rPr>
          <w:rFonts w:ascii="Times New Roman" w:eastAsia="Calibri" w:hAnsi="Times New Roman" w:cs="Times New Roman"/>
          <w:color w:val="000000"/>
          <w:sz w:val="28"/>
          <w:szCs w:val="28"/>
        </w:rPr>
        <w:t>млн. рублей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2155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21554C" w:rsidRPr="00134D17" w:rsidRDefault="0021554C" w:rsidP="006F6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134D17">
        <w:rPr>
          <w:rFonts w:ascii="Times New Roman" w:eastAsia="Calibri" w:hAnsi="Times New Roman" w:cs="Times New Roman"/>
          <w:color w:val="000000"/>
          <w:sz w:val="28"/>
          <w:szCs w:val="28"/>
        </w:rPr>
        <w:t>рогнозируется увеличение количества зарегистрированных на территории области легковых автомобилей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 индивидуальных владельцев в 2016</w:t>
      </w:r>
      <w:r w:rsidRPr="00134D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1,7</w:t>
      </w:r>
      <w:r w:rsidRPr="00134D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и сокращения  количества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автомобилей у юридических лиц в 2017</w:t>
      </w:r>
      <w:r w:rsidRPr="00134D1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0,5</w:t>
      </w:r>
      <w:r w:rsidRPr="00134D17">
        <w:rPr>
          <w:rFonts w:ascii="Times New Roman" w:eastAsia="Calibri" w:hAnsi="Times New Roman" w:cs="Times New Roman"/>
          <w:color w:val="000000"/>
          <w:sz w:val="28"/>
          <w:szCs w:val="28"/>
        </w:rPr>
        <w:t>%.</w:t>
      </w:r>
    </w:p>
    <w:p w:rsidR="0021554C" w:rsidRDefault="0021554C" w:rsidP="006F6031">
      <w:pPr>
        <w:pStyle w:val="ConsPlusNormal"/>
        <w:ind w:firstLine="54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</w:t>
      </w:r>
      <w:r w:rsidR="00F32209">
        <w:rPr>
          <w:rFonts w:eastAsia="Calibri"/>
          <w:color w:val="000000"/>
        </w:rPr>
        <w:t xml:space="preserve"> расчете учтены изменения</w:t>
      </w:r>
      <w:r w:rsidR="006878A6">
        <w:rPr>
          <w:rFonts w:eastAsia="Calibri"/>
          <w:color w:val="000000"/>
        </w:rPr>
        <w:t>,</w:t>
      </w:r>
      <w:r w:rsidR="00F32209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внесенны</w:t>
      </w:r>
      <w:r w:rsidR="00F32209">
        <w:rPr>
          <w:rFonts w:eastAsia="Calibri"/>
          <w:color w:val="000000"/>
        </w:rPr>
        <w:t>е</w:t>
      </w:r>
      <w:r>
        <w:rPr>
          <w:rFonts w:eastAsia="Calibri"/>
          <w:color w:val="000000"/>
        </w:rPr>
        <w:t xml:space="preserve"> в Налоговый кодекс Российской Федерации</w:t>
      </w:r>
      <w:r w:rsidR="006878A6">
        <w:rPr>
          <w:rFonts w:eastAsia="Calibri"/>
          <w:color w:val="000000"/>
        </w:rPr>
        <w:t xml:space="preserve">. С </w:t>
      </w:r>
      <w:r w:rsidR="004318E3">
        <w:rPr>
          <w:rFonts w:eastAsia="Calibri"/>
          <w:color w:val="000000"/>
        </w:rPr>
        <w:t>1 января 2016 года</w:t>
      </w:r>
      <w:r>
        <w:rPr>
          <w:rFonts w:eastAsia="Calibri"/>
          <w:color w:val="000000"/>
        </w:rPr>
        <w:t xml:space="preserve"> сумма</w:t>
      </w:r>
      <w:r w:rsidRPr="009D1B75">
        <w:rPr>
          <w:rFonts w:eastAsia="Calibri"/>
          <w:color w:val="000000"/>
        </w:rPr>
        <w:t xml:space="preserve"> транспортного налога для владельцев транспортных средств, имеющих максимальную массу свыше 12 тонн</w:t>
      </w:r>
      <w:r>
        <w:rPr>
          <w:rFonts w:eastAsia="Calibri"/>
          <w:color w:val="000000"/>
        </w:rPr>
        <w:t xml:space="preserve"> и зарегистрированных в системе «Платон», уменьшается</w:t>
      </w:r>
      <w:r w:rsidRPr="00F24465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на </w:t>
      </w:r>
      <w:r w:rsidRPr="009D1B75">
        <w:rPr>
          <w:rFonts w:eastAsia="Calibri"/>
          <w:color w:val="000000"/>
        </w:rPr>
        <w:t>сумму платы в счет возмещения вреда, причиняемого автодорогам федерального значения</w:t>
      </w:r>
      <w:r>
        <w:rPr>
          <w:rFonts w:eastAsia="Calibri"/>
          <w:color w:val="000000"/>
        </w:rPr>
        <w:t>.</w:t>
      </w:r>
      <w:r w:rsidR="006878A6">
        <w:rPr>
          <w:rFonts w:eastAsia="Calibri"/>
          <w:color w:val="000000"/>
        </w:rPr>
        <w:t xml:space="preserve"> Согласно сведениям, размещенным Центром обслуживания пользователей Системы «Платон» в Ярославской области зарегистрировано более 5200 </w:t>
      </w:r>
      <w:proofErr w:type="spellStart"/>
      <w:r w:rsidR="006878A6">
        <w:rPr>
          <w:rFonts w:eastAsia="Calibri"/>
          <w:color w:val="000000"/>
        </w:rPr>
        <w:t>большегрузов</w:t>
      </w:r>
      <w:proofErr w:type="spellEnd"/>
      <w:r w:rsidR="006878A6">
        <w:rPr>
          <w:rFonts w:eastAsia="Calibri"/>
          <w:color w:val="000000"/>
        </w:rPr>
        <w:t xml:space="preserve">. </w:t>
      </w:r>
      <w:r>
        <w:rPr>
          <w:rFonts w:eastAsia="Calibri"/>
          <w:color w:val="000000"/>
        </w:rPr>
        <w:t>В</w:t>
      </w:r>
      <w:r w:rsidRPr="009D1B75">
        <w:rPr>
          <w:rFonts w:eastAsia="Calibri"/>
          <w:color w:val="000000"/>
        </w:rPr>
        <w:t xml:space="preserve">ыпадающие доходы областного бюджета </w:t>
      </w:r>
      <w:r>
        <w:rPr>
          <w:rFonts w:eastAsia="Calibri"/>
          <w:color w:val="000000"/>
        </w:rPr>
        <w:t>в 2017 году составят</w:t>
      </w:r>
      <w:r w:rsidRPr="009D1B75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228</w:t>
      </w:r>
      <w:r w:rsidRPr="009D1B75">
        <w:rPr>
          <w:rFonts w:eastAsia="Calibri"/>
          <w:color w:val="000000"/>
        </w:rPr>
        <w:t xml:space="preserve"> млн. руб.</w:t>
      </w:r>
      <w:r>
        <w:rPr>
          <w:rFonts w:eastAsia="Calibri"/>
          <w:color w:val="000000"/>
        </w:rPr>
        <w:t xml:space="preserve">, в том числе </w:t>
      </w:r>
      <w:r w:rsidR="007F56FE">
        <w:rPr>
          <w:rFonts w:eastAsia="Calibri"/>
          <w:color w:val="000000"/>
        </w:rPr>
        <w:t xml:space="preserve">платежи </w:t>
      </w:r>
      <w:r>
        <w:rPr>
          <w:rFonts w:eastAsia="Calibri"/>
          <w:color w:val="000000"/>
        </w:rPr>
        <w:t>юридических лиц – 84</w:t>
      </w:r>
      <w:r w:rsidRPr="000863C2">
        <w:rPr>
          <w:rFonts w:eastAsia="Calibri"/>
          <w:color w:val="000000"/>
        </w:rPr>
        <w:t xml:space="preserve"> млн. руб., физических лиц – </w:t>
      </w:r>
      <w:r>
        <w:rPr>
          <w:rFonts w:eastAsia="Calibri"/>
          <w:color w:val="000000"/>
        </w:rPr>
        <w:t xml:space="preserve">144 млн. рублей. </w:t>
      </w:r>
    </w:p>
    <w:p w:rsidR="0021554C" w:rsidRPr="00063AEF" w:rsidRDefault="0021554C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EF">
        <w:rPr>
          <w:rFonts w:ascii="Times New Roman" w:hAnsi="Times New Roman" w:cs="Times New Roman"/>
          <w:sz w:val="28"/>
          <w:szCs w:val="28"/>
        </w:rPr>
        <w:t>Расчет поступления налога</w:t>
      </w:r>
      <w:r w:rsidR="00063AEF">
        <w:rPr>
          <w:rFonts w:ascii="Times New Roman" w:hAnsi="Times New Roman" w:cs="Times New Roman"/>
          <w:sz w:val="28"/>
          <w:szCs w:val="28"/>
        </w:rPr>
        <w:t xml:space="preserve"> от юридических лиц</w:t>
      </w:r>
      <w:r w:rsidRPr="00063AEF">
        <w:rPr>
          <w:rFonts w:ascii="Times New Roman" w:hAnsi="Times New Roman" w:cs="Times New Roman"/>
          <w:sz w:val="28"/>
          <w:szCs w:val="28"/>
        </w:rPr>
        <w:t>:</w:t>
      </w:r>
    </w:p>
    <w:p w:rsidR="0021554C" w:rsidRDefault="0021554C" w:rsidP="006F603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224,7 млн.</w:t>
      </w:r>
      <w:r w:rsidR="00063A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863C2">
        <w:rPr>
          <w:rFonts w:ascii="Times New Roman" w:eastAsia="Calibri" w:hAnsi="Times New Roman" w:cs="Times New Roman"/>
          <w:color w:val="000000"/>
          <w:sz w:val="28"/>
          <w:szCs w:val="28"/>
        </w:rPr>
        <w:t>руб.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863C2">
        <w:rPr>
          <w:rFonts w:ascii="Times New Roman" w:eastAsia="Calibri" w:hAnsi="Times New Roman" w:cs="Times New Roman"/>
          <w:color w:val="000000"/>
          <w:sz w:val="28"/>
          <w:szCs w:val="28"/>
        </w:rPr>
        <w:t>*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99,5</w:t>
      </w:r>
      <w:r w:rsidRPr="000863C2">
        <w:rPr>
          <w:rFonts w:ascii="Times New Roman" w:eastAsia="Calibri" w:hAnsi="Times New Roman" w:cs="Times New Roman"/>
          <w:color w:val="000000"/>
          <w:sz w:val="28"/>
          <w:szCs w:val="28"/>
        </w:rPr>
        <w:t>%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- 84 млн.</w:t>
      </w:r>
      <w:r w:rsidR="00063A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руб. = 139,6 млн.</w:t>
      </w:r>
      <w:r w:rsidR="00063A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руб.</w:t>
      </w:r>
    </w:p>
    <w:p w:rsidR="00063AEF" w:rsidRDefault="00063AEF" w:rsidP="006F6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Расчет поступления налога от физических лиц:</w:t>
      </w:r>
    </w:p>
    <w:p w:rsidR="0021554C" w:rsidRPr="00BA5F56" w:rsidRDefault="0021554C" w:rsidP="006F6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749,3 млн.</w:t>
      </w:r>
      <w:r w:rsidR="00797A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руб.*</w:t>
      </w:r>
      <w:r w:rsidR="00483F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101,7% - 144 млн.</w:t>
      </w:r>
      <w:r w:rsidR="00797A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руб. + 137 млн.</w:t>
      </w:r>
      <w:r w:rsidR="00797A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руб.</w:t>
      </w:r>
      <w:r w:rsidR="00797A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=</w:t>
      </w:r>
      <w:r w:rsidR="00797A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755 млн.</w:t>
      </w:r>
      <w:r w:rsidR="00797A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руб.</w:t>
      </w:r>
      <w:proofErr w:type="gramEnd"/>
    </w:p>
    <w:p w:rsidR="0021554C" w:rsidRDefault="0021554C" w:rsidP="006F603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139,6 млн.</w:t>
      </w:r>
      <w:r w:rsidR="00797A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руб.+</w:t>
      </w:r>
      <w:r w:rsidRPr="00BA5F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755 млн.</w:t>
      </w:r>
      <w:r w:rsidR="00797A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руб. </w:t>
      </w:r>
      <w:r w:rsidRPr="000863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=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894,6</w:t>
      </w:r>
      <w:r w:rsidRPr="000863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</w:t>
      </w:r>
    </w:p>
    <w:p w:rsidR="0021554C" w:rsidRPr="00522965" w:rsidRDefault="0021554C" w:rsidP="006F6031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965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21554C" w:rsidRPr="00522965" w:rsidRDefault="0021554C" w:rsidP="006F6031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224,7</w:t>
      </w:r>
      <w:r w:rsidRPr="00522965">
        <w:rPr>
          <w:rFonts w:ascii="Times New Roman" w:hAnsi="Times New Roman" w:cs="Times New Roman"/>
          <w:sz w:val="28"/>
          <w:szCs w:val="28"/>
        </w:rPr>
        <w:t xml:space="preserve"> млн. руб. – оцен</w:t>
      </w:r>
      <w:r>
        <w:rPr>
          <w:rFonts w:ascii="Times New Roman" w:hAnsi="Times New Roman" w:cs="Times New Roman"/>
          <w:sz w:val="28"/>
          <w:szCs w:val="28"/>
        </w:rPr>
        <w:t>ка ожидаемого поступления в 2016</w:t>
      </w:r>
      <w:r w:rsidRPr="00522965">
        <w:rPr>
          <w:rFonts w:ascii="Times New Roman" w:hAnsi="Times New Roman" w:cs="Times New Roman"/>
          <w:sz w:val="28"/>
          <w:szCs w:val="28"/>
        </w:rPr>
        <w:t xml:space="preserve"> году транспортного налога, уплачиваемого организациями;</w:t>
      </w:r>
    </w:p>
    <w:p w:rsidR="0021554C" w:rsidRDefault="0021554C" w:rsidP="006F6031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749,3 </w:t>
      </w:r>
      <w:r w:rsidRPr="00522965">
        <w:rPr>
          <w:rFonts w:ascii="Times New Roman" w:hAnsi="Times New Roman" w:cs="Times New Roman"/>
          <w:sz w:val="28"/>
          <w:szCs w:val="28"/>
        </w:rPr>
        <w:t>млн. руб. – оцен</w:t>
      </w:r>
      <w:r>
        <w:rPr>
          <w:rFonts w:ascii="Times New Roman" w:hAnsi="Times New Roman" w:cs="Times New Roman"/>
          <w:sz w:val="28"/>
          <w:szCs w:val="28"/>
        </w:rPr>
        <w:t>ка ожидаемого поступления в 2016</w:t>
      </w:r>
      <w:r w:rsidRPr="00522965">
        <w:rPr>
          <w:rFonts w:ascii="Times New Roman" w:hAnsi="Times New Roman" w:cs="Times New Roman"/>
          <w:sz w:val="28"/>
          <w:szCs w:val="28"/>
        </w:rPr>
        <w:t xml:space="preserve"> году транспортного налога, уплачиваемого индивидуальными владельцами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554C" w:rsidRDefault="0021554C" w:rsidP="006F6031">
      <w:pPr>
        <w:spacing w:after="0" w:line="240" w:lineRule="auto"/>
        <w:ind w:left="40" w:righ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137 млн. руб. – поступление задолженности от физических лиц</w:t>
      </w:r>
      <w:r w:rsidR="00523736">
        <w:rPr>
          <w:rFonts w:ascii="Times New Roman" w:hAnsi="Times New Roman" w:cs="Times New Roman"/>
          <w:sz w:val="28"/>
          <w:szCs w:val="28"/>
        </w:rPr>
        <w:t>, образовавшейся</w:t>
      </w:r>
      <w:r>
        <w:rPr>
          <w:rFonts w:ascii="Times New Roman" w:hAnsi="Times New Roman" w:cs="Times New Roman"/>
          <w:sz w:val="28"/>
          <w:szCs w:val="28"/>
        </w:rPr>
        <w:t xml:space="preserve"> по сроку 1 декабря 2016г. </w:t>
      </w:r>
    </w:p>
    <w:p w:rsidR="00AA20F8" w:rsidRDefault="00AA20F8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345">
        <w:rPr>
          <w:rFonts w:ascii="Times New Roman" w:hAnsi="Times New Roman" w:cs="Times New Roman"/>
          <w:sz w:val="28"/>
          <w:szCs w:val="28"/>
        </w:rPr>
        <w:t>Прогноз поступления налога в 2018 году –</w:t>
      </w:r>
      <w:r>
        <w:rPr>
          <w:rFonts w:ascii="Times New Roman" w:hAnsi="Times New Roman" w:cs="Times New Roman"/>
          <w:sz w:val="28"/>
          <w:szCs w:val="28"/>
        </w:rPr>
        <w:t xml:space="preserve"> 907,8 </w:t>
      </w:r>
      <w:r w:rsidRPr="00680345">
        <w:rPr>
          <w:rFonts w:ascii="Times New Roman" w:hAnsi="Times New Roman" w:cs="Times New Roman"/>
          <w:sz w:val="28"/>
          <w:szCs w:val="28"/>
        </w:rPr>
        <w:t xml:space="preserve">млн. руб., в 2019 году – </w:t>
      </w:r>
      <w:r>
        <w:rPr>
          <w:rFonts w:ascii="Times New Roman" w:hAnsi="Times New Roman" w:cs="Times New Roman"/>
          <w:sz w:val="28"/>
          <w:szCs w:val="28"/>
        </w:rPr>
        <w:t>923,3</w:t>
      </w:r>
      <w:r w:rsidRPr="00680345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318E3" w:rsidRDefault="004318E3" w:rsidP="006F60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37C0" w:rsidRDefault="004737C0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B4431">
        <w:rPr>
          <w:rFonts w:ascii="Times New Roman" w:hAnsi="Times New Roman" w:cs="Times New Roman"/>
          <w:b/>
          <w:sz w:val="28"/>
          <w:szCs w:val="28"/>
        </w:rPr>
        <w:t>алог на добычу полезных ископаемых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</w:p>
    <w:p w:rsidR="004737C0" w:rsidRDefault="004737C0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4431">
        <w:rPr>
          <w:rFonts w:ascii="Times New Roman" w:hAnsi="Times New Roman" w:cs="Times New Roman"/>
          <w:sz w:val="28"/>
          <w:szCs w:val="28"/>
        </w:rPr>
        <w:t>С 201</w:t>
      </w:r>
      <w:r>
        <w:rPr>
          <w:rFonts w:ascii="Times New Roman" w:hAnsi="Times New Roman" w:cs="Times New Roman"/>
          <w:sz w:val="28"/>
          <w:szCs w:val="28"/>
        </w:rPr>
        <w:t>7 г</w:t>
      </w:r>
      <w:r w:rsidR="00075111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7511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аконом области «О единых нормативах отчислений в местные бюджеты» в областной бюджет зачисляе</w:t>
      </w:r>
      <w:r w:rsidRPr="00DB4431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5">
        <w:rPr>
          <w:rFonts w:ascii="Times New Roman" w:hAnsi="Times New Roman" w:cs="Times New Roman"/>
          <w:sz w:val="28"/>
          <w:szCs w:val="28"/>
        </w:rPr>
        <w:t>налог на добычу полезных ископаемых,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4222">
        <w:rPr>
          <w:rFonts w:ascii="Times New Roman" w:hAnsi="Times New Roman" w:cs="Times New Roman"/>
          <w:sz w:val="28"/>
          <w:szCs w:val="28"/>
        </w:rPr>
        <w:t>взимаемый</w:t>
      </w:r>
      <w:r w:rsidRPr="00A85239">
        <w:rPr>
          <w:rFonts w:ascii="Times New Roman" w:hAnsi="Times New Roman" w:cs="Times New Roman"/>
          <w:sz w:val="28"/>
          <w:szCs w:val="28"/>
        </w:rPr>
        <w:t xml:space="preserve"> </w:t>
      </w:r>
      <w:r w:rsidR="00FB6BC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7C64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городских округов.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7C64FF">
        <w:rPr>
          <w:rFonts w:ascii="Times New Roman" w:hAnsi="Times New Roman" w:cs="Times New Roman"/>
          <w:sz w:val="28"/>
          <w:szCs w:val="28"/>
        </w:rPr>
        <w:t xml:space="preserve">прогноза </w:t>
      </w:r>
      <w:r>
        <w:rPr>
          <w:rFonts w:ascii="Times New Roman" w:hAnsi="Times New Roman" w:cs="Times New Roman"/>
          <w:sz w:val="28"/>
          <w:szCs w:val="28"/>
        </w:rPr>
        <w:t>произведен г</w:t>
      </w:r>
      <w:r w:rsidRPr="0062172D">
        <w:rPr>
          <w:rFonts w:ascii="Times New Roman" w:hAnsi="Times New Roman" w:cs="Times New Roman"/>
          <w:sz w:val="28"/>
          <w:szCs w:val="28"/>
        </w:rPr>
        <w:t>лавным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7BE">
        <w:rPr>
          <w:rFonts w:ascii="Times New Roman" w:hAnsi="Times New Roman" w:cs="Times New Roman"/>
          <w:sz w:val="28"/>
          <w:szCs w:val="28"/>
        </w:rPr>
        <w:t>администратором</w:t>
      </w:r>
      <w:r>
        <w:rPr>
          <w:rFonts w:ascii="Times New Roman" w:hAnsi="Times New Roman" w:cs="Times New Roman"/>
          <w:sz w:val="28"/>
          <w:szCs w:val="28"/>
        </w:rPr>
        <w:t xml:space="preserve"> данного налога –</w:t>
      </w:r>
      <w:r w:rsidR="00FB6B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по ЯО на основании данных отчетов о налоговой базе №5-НДПИ (стоимость добытого полезного ископаемого), с учетом динамики фактического поступления налога. Прогноз</w:t>
      </w:r>
      <w:r w:rsidR="00FB6BC5">
        <w:rPr>
          <w:rFonts w:ascii="Times New Roman" w:hAnsi="Times New Roman" w:cs="Times New Roman"/>
          <w:sz w:val="28"/>
          <w:szCs w:val="28"/>
        </w:rPr>
        <w:t xml:space="preserve"> поступления в</w:t>
      </w:r>
      <w:r>
        <w:rPr>
          <w:rFonts w:ascii="Times New Roman" w:hAnsi="Times New Roman" w:cs="Times New Roman"/>
          <w:sz w:val="28"/>
          <w:szCs w:val="28"/>
        </w:rPr>
        <w:t xml:space="preserve"> 2017 г</w:t>
      </w:r>
      <w:r w:rsidR="00FB6B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– 6,3 млн. руб., </w:t>
      </w:r>
      <w:r w:rsidR="00FB6BC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2018 г</w:t>
      </w:r>
      <w:r w:rsidR="00D84C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6,4 млн. руб., </w:t>
      </w:r>
      <w:r w:rsidR="00D84C8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2019 г</w:t>
      </w:r>
      <w:r w:rsidR="00D84C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84C8B">
        <w:rPr>
          <w:rFonts w:ascii="Times New Roman" w:hAnsi="Times New Roman" w:cs="Times New Roman"/>
          <w:sz w:val="28"/>
          <w:szCs w:val="28"/>
        </w:rPr>
        <w:t xml:space="preserve"> </w:t>
      </w:r>
      <w:r w:rsidR="003A6742">
        <w:rPr>
          <w:rFonts w:ascii="Times New Roman" w:hAnsi="Times New Roman" w:cs="Times New Roman"/>
          <w:sz w:val="28"/>
          <w:szCs w:val="28"/>
        </w:rPr>
        <w:t>6,5 </w:t>
      </w:r>
      <w:r>
        <w:rPr>
          <w:rFonts w:ascii="Times New Roman" w:hAnsi="Times New Roman" w:cs="Times New Roman"/>
          <w:sz w:val="28"/>
          <w:szCs w:val="28"/>
        </w:rPr>
        <w:t>млн. руб.</w:t>
      </w:r>
    </w:p>
    <w:p w:rsidR="004318E3" w:rsidRDefault="004318E3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7EBC" w:rsidRDefault="003E7EBC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1AA">
        <w:rPr>
          <w:rFonts w:ascii="Times New Roman" w:hAnsi="Times New Roman" w:cs="Times New Roman"/>
          <w:b/>
          <w:sz w:val="28"/>
          <w:szCs w:val="28"/>
        </w:rPr>
        <w:t>Государственная пошлина.</w:t>
      </w:r>
    </w:p>
    <w:p w:rsidR="00BC3543" w:rsidRDefault="00BC3543" w:rsidP="006F6031">
      <w:pPr>
        <w:spacing w:after="0" w:line="240" w:lineRule="auto"/>
        <w:ind w:firstLine="709"/>
        <w:contextualSpacing/>
        <w:jc w:val="both"/>
      </w:pPr>
      <w:r w:rsidRPr="007F3767">
        <w:rPr>
          <w:rFonts w:ascii="Times New Roman" w:hAnsi="Times New Roman" w:cs="Times New Roman"/>
          <w:sz w:val="28"/>
          <w:szCs w:val="28"/>
        </w:rPr>
        <w:t xml:space="preserve">Прогноз поступления государственной пошлины в областной бюджет предоставлен главными администраторами соответствующих доходов. </w:t>
      </w:r>
    </w:p>
    <w:p w:rsidR="00BC3543" w:rsidRDefault="008970F4" w:rsidP="004737C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тыс. руб.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86"/>
        <w:gridCol w:w="1701"/>
        <w:gridCol w:w="1559"/>
        <w:gridCol w:w="1525"/>
      </w:tblGrid>
      <w:tr w:rsidR="008970F4" w:rsidTr="00A40D88">
        <w:tc>
          <w:tcPr>
            <w:tcW w:w="4786" w:type="dxa"/>
          </w:tcPr>
          <w:p w:rsidR="008970F4" w:rsidRDefault="008970F4" w:rsidP="008970F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970F4" w:rsidRPr="00355B5A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355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vAlign w:val="center"/>
          </w:tcPr>
          <w:p w:rsidR="008970F4" w:rsidRPr="00355B5A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355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25" w:type="dxa"/>
            <w:vAlign w:val="center"/>
          </w:tcPr>
          <w:p w:rsidR="008970F4" w:rsidRPr="00355B5A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355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8970F4" w:rsidTr="00A40D88">
        <w:trPr>
          <w:trHeight w:val="651"/>
        </w:trPr>
        <w:tc>
          <w:tcPr>
            <w:tcW w:w="4786" w:type="dxa"/>
          </w:tcPr>
          <w:p w:rsidR="008970F4" w:rsidRPr="00F56D63" w:rsidRDefault="00075111" w:rsidP="008970F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8970F4"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оспошлина за оказание государственных услуг, предоставленных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701" w:type="dxa"/>
            <w:vAlign w:val="center"/>
          </w:tcPr>
          <w:p w:rsidR="008970F4" w:rsidRPr="00F56D63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</w:p>
        </w:tc>
        <w:tc>
          <w:tcPr>
            <w:tcW w:w="1559" w:type="dxa"/>
            <w:vAlign w:val="center"/>
          </w:tcPr>
          <w:p w:rsidR="008970F4" w:rsidRPr="00F56D63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138</w:t>
            </w:r>
            <w:r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</w:p>
        </w:tc>
        <w:tc>
          <w:tcPr>
            <w:tcW w:w="1525" w:type="dxa"/>
            <w:vAlign w:val="center"/>
          </w:tcPr>
          <w:p w:rsidR="008970F4" w:rsidRPr="00F56D63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39</w:t>
            </w:r>
            <w:r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</w:p>
        </w:tc>
      </w:tr>
      <w:tr w:rsidR="008970F4" w:rsidTr="00A40D88">
        <w:trPr>
          <w:trHeight w:val="698"/>
        </w:trPr>
        <w:tc>
          <w:tcPr>
            <w:tcW w:w="4786" w:type="dxa"/>
          </w:tcPr>
          <w:p w:rsidR="008970F4" w:rsidRDefault="00075111" w:rsidP="008970F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8970F4"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оспошлина за предоставление лицензий на розничную продажу алкогольной продукции</w:t>
            </w:r>
          </w:p>
        </w:tc>
        <w:tc>
          <w:tcPr>
            <w:tcW w:w="1701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000</w:t>
            </w:r>
          </w:p>
        </w:tc>
        <w:tc>
          <w:tcPr>
            <w:tcW w:w="1559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000</w:t>
            </w:r>
          </w:p>
        </w:tc>
        <w:tc>
          <w:tcPr>
            <w:tcW w:w="1525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000</w:t>
            </w:r>
          </w:p>
        </w:tc>
      </w:tr>
      <w:tr w:rsidR="008970F4" w:rsidTr="00A40D88">
        <w:trPr>
          <w:trHeight w:val="694"/>
        </w:trPr>
        <w:tc>
          <w:tcPr>
            <w:tcW w:w="4786" w:type="dxa"/>
          </w:tcPr>
          <w:p w:rsidR="008970F4" w:rsidRPr="00F56D63" w:rsidRDefault="00075111" w:rsidP="008970F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8970F4"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оспошлина за проведение уполномоченными органами исполнительной власти субъектов Российской Федерации государственного технического осмотра и регистрации тракторов, самоходных и иных машин, за выдачу удостоверений тракториста</w:t>
            </w:r>
          </w:p>
        </w:tc>
        <w:tc>
          <w:tcPr>
            <w:tcW w:w="1701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860</w:t>
            </w:r>
          </w:p>
        </w:tc>
        <w:tc>
          <w:tcPr>
            <w:tcW w:w="1559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860</w:t>
            </w:r>
          </w:p>
        </w:tc>
        <w:tc>
          <w:tcPr>
            <w:tcW w:w="1525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860</w:t>
            </w:r>
          </w:p>
        </w:tc>
      </w:tr>
      <w:tr w:rsidR="008970F4" w:rsidTr="00A40D88">
        <w:trPr>
          <w:trHeight w:val="703"/>
        </w:trPr>
        <w:tc>
          <w:tcPr>
            <w:tcW w:w="4786" w:type="dxa"/>
          </w:tcPr>
          <w:p w:rsidR="008970F4" w:rsidRPr="00F56D63" w:rsidRDefault="00075111" w:rsidP="008970F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8970F4"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 и крупногабаритных грузов</w:t>
            </w:r>
          </w:p>
        </w:tc>
        <w:tc>
          <w:tcPr>
            <w:tcW w:w="1701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525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8970F4" w:rsidTr="00A40D88">
        <w:trPr>
          <w:trHeight w:val="699"/>
        </w:trPr>
        <w:tc>
          <w:tcPr>
            <w:tcW w:w="4786" w:type="dxa"/>
          </w:tcPr>
          <w:p w:rsidR="008970F4" w:rsidRPr="00F56D63" w:rsidRDefault="00075111" w:rsidP="008970F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970F4" w:rsidRPr="00F56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рочая госпошлина</w:t>
            </w:r>
          </w:p>
        </w:tc>
        <w:tc>
          <w:tcPr>
            <w:tcW w:w="1701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954</w:t>
            </w:r>
          </w:p>
        </w:tc>
        <w:tc>
          <w:tcPr>
            <w:tcW w:w="1559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804</w:t>
            </w:r>
          </w:p>
        </w:tc>
        <w:tc>
          <w:tcPr>
            <w:tcW w:w="1525" w:type="dxa"/>
            <w:vAlign w:val="center"/>
          </w:tcPr>
          <w:p w:rsidR="008970F4" w:rsidRPr="00830DB9" w:rsidRDefault="008970F4" w:rsidP="00897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654</w:t>
            </w:r>
          </w:p>
        </w:tc>
      </w:tr>
      <w:tr w:rsidR="008970F4" w:rsidTr="00A40D88">
        <w:trPr>
          <w:trHeight w:val="695"/>
        </w:trPr>
        <w:tc>
          <w:tcPr>
            <w:tcW w:w="4786" w:type="dxa"/>
          </w:tcPr>
          <w:p w:rsidR="008970F4" w:rsidRPr="00F56D63" w:rsidRDefault="008970F4" w:rsidP="008970F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D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vAlign w:val="center"/>
          </w:tcPr>
          <w:p w:rsidR="008970F4" w:rsidRPr="00F56D63" w:rsidRDefault="008970F4" w:rsidP="008970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185 614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F56D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970F4" w:rsidRPr="00F56D63" w:rsidRDefault="008970F4" w:rsidP="008970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186</w:t>
            </w:r>
            <w:r w:rsidRPr="00F56D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464</w:t>
            </w:r>
            <w:r w:rsidRPr="00F56D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25" w:type="dxa"/>
            <w:vAlign w:val="center"/>
          </w:tcPr>
          <w:p w:rsidR="008970F4" w:rsidRPr="00571538" w:rsidRDefault="008970F4" w:rsidP="008970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187 314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</w:p>
        </w:tc>
      </w:tr>
    </w:tbl>
    <w:p w:rsidR="003F546E" w:rsidRDefault="003F546E" w:rsidP="004737C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64FF" w:rsidRDefault="007C64FF" w:rsidP="006F6031">
      <w:pPr>
        <w:pStyle w:val="ConsPlusNormal"/>
        <w:ind w:firstLine="709"/>
        <w:jc w:val="both"/>
      </w:pPr>
      <w:r w:rsidRPr="007C64FF">
        <w:t>Прогноз поступления</w:t>
      </w:r>
      <w:r w:rsidRPr="007C64FF">
        <w:rPr>
          <w:b/>
        </w:rPr>
        <w:t xml:space="preserve"> неналоговых доходов </w:t>
      </w:r>
      <w:r w:rsidRPr="007C64FF">
        <w:t>в</w:t>
      </w:r>
      <w:r w:rsidR="00A3562D">
        <w:t xml:space="preserve"> </w:t>
      </w:r>
      <w:r w:rsidRPr="007C64FF">
        <w:t>2017 году 848,2 млн. руб., рост к ожидаемому поступлению в текущем году на 3,2%.</w:t>
      </w:r>
      <w:r>
        <w:t xml:space="preserve"> Расчет прогноза поступления произведен главными администраторами соответствующих доходов.</w:t>
      </w:r>
    </w:p>
    <w:p w:rsidR="007C64FF" w:rsidRPr="00717B8B" w:rsidRDefault="007C64FF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8B">
        <w:rPr>
          <w:rFonts w:ascii="Times New Roman" w:hAnsi="Times New Roman" w:cs="Times New Roman"/>
          <w:b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</w:p>
    <w:p w:rsidR="007C64FF" w:rsidRPr="00717B8B" w:rsidRDefault="007C64FF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8B">
        <w:rPr>
          <w:rFonts w:ascii="Times New Roman" w:hAnsi="Times New Roman" w:cs="Times New Roman"/>
          <w:sz w:val="28"/>
          <w:szCs w:val="28"/>
        </w:rPr>
        <w:t>Прогноз 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7B8B">
        <w:rPr>
          <w:rFonts w:ascii="Times New Roman" w:hAnsi="Times New Roman" w:cs="Times New Roman"/>
          <w:sz w:val="28"/>
          <w:szCs w:val="28"/>
        </w:rPr>
        <w:t xml:space="preserve"> сформирован исходя из бизнес-планов, разработанных хозяйственными обществами с участием области, утвержд</w:t>
      </w:r>
      <w:r w:rsidR="00075111">
        <w:rPr>
          <w:rFonts w:ascii="Times New Roman" w:hAnsi="Times New Roman" w:cs="Times New Roman"/>
          <w:sz w:val="28"/>
          <w:szCs w:val="28"/>
        </w:rPr>
        <w:t>е</w:t>
      </w:r>
      <w:r w:rsidRPr="00717B8B">
        <w:rPr>
          <w:rFonts w:ascii="Times New Roman" w:hAnsi="Times New Roman" w:cs="Times New Roman"/>
          <w:sz w:val="28"/>
          <w:szCs w:val="28"/>
        </w:rPr>
        <w:t xml:space="preserve">нных советами директоров обществ. </w:t>
      </w:r>
    </w:p>
    <w:p w:rsidR="007C64FF" w:rsidRPr="00717B8B" w:rsidRDefault="007C64FF" w:rsidP="007C64F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1560"/>
        <w:gridCol w:w="1417"/>
        <w:gridCol w:w="1466"/>
      </w:tblGrid>
      <w:tr w:rsidR="007C64FF" w:rsidRPr="00717B8B" w:rsidTr="00A23640">
        <w:trPr>
          <w:cantSplit/>
          <w:trHeight w:val="20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C64FF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</w:t>
            </w:r>
          </w:p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2017 г.,</w:t>
            </w:r>
          </w:p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на 2018г., тыс. руб.</w:t>
            </w:r>
          </w:p>
        </w:tc>
        <w:tc>
          <w:tcPr>
            <w:tcW w:w="1466" w:type="dxa"/>
            <w:shd w:val="clear" w:color="auto" w:fill="auto"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на 2019 г.,</w:t>
            </w:r>
          </w:p>
          <w:p w:rsidR="007C64FF" w:rsidRPr="00717B8B" w:rsidRDefault="007C64FF" w:rsidP="00A2364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Ярославский индустриальный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парк»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 w:rsidR="00966790">
              <w:rPr>
                <w:rFonts w:ascii="Times New Roman" w:hAnsi="Times New Roman" w:cs="Times New Roman"/>
                <w:sz w:val="28"/>
                <w:szCs w:val="28"/>
              </w:rPr>
              <w:t>«Аэропорт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Туношна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>Региональный оператор ипоте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чного жилищного кредитования ЯО»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187,0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Санаторий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«Малые Соли»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1134,0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1248,0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Тепличный комплекс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Туношна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342,0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>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ославская генерирующая компания»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>Ярославский хлебозавод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«Авиация Ярославля»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Ярославльагропромтехснаб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1455,0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787,0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787,0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Яркоммунсервис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shd w:val="clear" w:color="000000" w:fill="FFFFFF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ГК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вежий угол»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677" w:type="dxa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Промышленный парк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«Северный»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shd w:val="clear" w:color="000000" w:fill="FFFFFF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7C64FF" w:rsidRPr="00717B8B" w:rsidTr="00A23640">
        <w:trPr>
          <w:trHeight w:val="20"/>
          <w:tblHeader/>
        </w:trPr>
        <w:tc>
          <w:tcPr>
            <w:tcW w:w="5211" w:type="dxa"/>
            <w:gridSpan w:val="2"/>
            <w:shd w:val="clear" w:color="auto" w:fill="auto"/>
            <w:hideMark/>
          </w:tcPr>
          <w:p w:rsidR="007C64FF" w:rsidRPr="00717B8B" w:rsidRDefault="007C64FF" w:rsidP="00A236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3765,0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3277,0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7C64FF" w:rsidRPr="00717B8B" w:rsidRDefault="007C64FF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</w:tbl>
    <w:p w:rsidR="000C7805" w:rsidRDefault="000C7805" w:rsidP="004737C0">
      <w:pPr>
        <w:pStyle w:val="ConsPlusNormal"/>
        <w:spacing w:line="276" w:lineRule="auto"/>
        <w:ind w:firstLine="709"/>
        <w:jc w:val="both"/>
        <w:rPr>
          <w:b/>
          <w:highlight w:val="yellow"/>
        </w:rPr>
      </w:pPr>
    </w:p>
    <w:p w:rsidR="005863AE" w:rsidRPr="00717B8B" w:rsidRDefault="005863AE" w:rsidP="005863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8B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  <w:r w:rsidRPr="00717B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63AE" w:rsidRPr="00717B8B" w:rsidRDefault="005863AE" w:rsidP="005863AE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717B8B">
        <w:rPr>
          <w:rFonts w:ascii="Times New Roman" w:hAnsi="Times New Roman"/>
          <w:sz w:val="28"/>
          <w:szCs w:val="28"/>
        </w:rPr>
        <w:t>Прогноз поступления рассчитан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7B8B">
        <w:rPr>
          <w:rFonts w:ascii="Times New Roman" w:hAnsi="Times New Roman"/>
          <w:sz w:val="28"/>
          <w:szCs w:val="28"/>
        </w:rPr>
        <w:t>исходя из величины ежемесячных начислений арендной платы за земельные участки, находящиеся в собственности Ярославской области, на дату разработки прогноза и коэффициента инфляции в размере 4,0 % в год (</w:t>
      </w:r>
      <w:r w:rsidR="00075111">
        <w:rPr>
          <w:rFonts w:ascii="Times New Roman" w:hAnsi="Times New Roman"/>
          <w:sz w:val="28"/>
          <w:szCs w:val="28"/>
        </w:rPr>
        <w:t>проект закона «О федеральном бюджете на 2017 год и на плановый период 2018 и 2019 годов»</w:t>
      </w:r>
      <w:r w:rsidRPr="00717B8B">
        <w:rPr>
          <w:rFonts w:ascii="Times New Roman" w:hAnsi="Times New Roman"/>
          <w:sz w:val="28"/>
          <w:szCs w:val="28"/>
        </w:rPr>
        <w:t>).</w:t>
      </w:r>
    </w:p>
    <w:p w:rsidR="005863AE" w:rsidRDefault="005863AE" w:rsidP="005863AE">
      <w:pPr>
        <w:pStyle w:val="a4"/>
        <w:ind w:firstLine="709"/>
        <w:jc w:val="both"/>
        <w:rPr>
          <w:sz w:val="28"/>
          <w:szCs w:val="28"/>
        </w:rPr>
      </w:pPr>
      <w:r w:rsidRPr="00717B8B">
        <w:rPr>
          <w:sz w:val="28"/>
          <w:szCs w:val="28"/>
        </w:rPr>
        <w:t>Кроме того, в расчете учтены поступления фиксированных платежей арендной платы, установленных по результатам торгов по продаже права аренды земельных участков, собираемость арендной платы и судебные решения, вступившие в законную силу.</w:t>
      </w:r>
    </w:p>
    <w:p w:rsidR="005863AE" w:rsidRDefault="005863AE" w:rsidP="005863AE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поступления:</w:t>
      </w:r>
    </w:p>
    <w:p w:rsidR="005863AE" w:rsidRDefault="005863AE" w:rsidP="005863AE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– 17,3 млн. руб.,</w:t>
      </w:r>
    </w:p>
    <w:p w:rsidR="005863AE" w:rsidRDefault="005863AE" w:rsidP="005863AE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 году – 17,9 млн. руб.,</w:t>
      </w:r>
    </w:p>
    <w:p w:rsidR="005863AE" w:rsidRDefault="005863AE" w:rsidP="005863AE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 – 17,3 млн. рублей.</w:t>
      </w:r>
    </w:p>
    <w:p w:rsidR="005863AE" w:rsidRDefault="005863AE" w:rsidP="005863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7B8B">
        <w:rPr>
          <w:rFonts w:ascii="Times New Roman" w:hAnsi="Times New Roman"/>
          <w:sz w:val="28"/>
          <w:szCs w:val="28"/>
        </w:rPr>
        <w:t>Снижение прог</w:t>
      </w:r>
      <w:r w:rsidR="0061344E">
        <w:rPr>
          <w:rFonts w:ascii="Times New Roman" w:hAnsi="Times New Roman"/>
          <w:sz w:val="28"/>
          <w:szCs w:val="28"/>
        </w:rPr>
        <w:t>нозируемых поступлений в 2019 году</w:t>
      </w:r>
      <w:r w:rsidRPr="00717B8B">
        <w:rPr>
          <w:rFonts w:ascii="Times New Roman" w:hAnsi="Times New Roman"/>
          <w:sz w:val="28"/>
          <w:szCs w:val="28"/>
        </w:rPr>
        <w:t xml:space="preserve"> по сравнению с </w:t>
      </w:r>
      <w:r w:rsidR="0061344E">
        <w:rPr>
          <w:rFonts w:ascii="Times New Roman" w:hAnsi="Times New Roman"/>
          <w:sz w:val="28"/>
          <w:szCs w:val="28"/>
        </w:rPr>
        <w:t>2018 </w:t>
      </w:r>
      <w:r w:rsidRPr="00717B8B">
        <w:rPr>
          <w:rFonts w:ascii="Times New Roman" w:hAnsi="Times New Roman"/>
          <w:sz w:val="28"/>
          <w:szCs w:val="28"/>
        </w:rPr>
        <w:t>г</w:t>
      </w:r>
      <w:r w:rsidR="0061344E">
        <w:rPr>
          <w:rFonts w:ascii="Times New Roman" w:hAnsi="Times New Roman"/>
          <w:sz w:val="28"/>
          <w:szCs w:val="28"/>
        </w:rPr>
        <w:t>одом</w:t>
      </w:r>
      <w:r w:rsidRPr="00717B8B">
        <w:rPr>
          <w:rFonts w:ascii="Times New Roman" w:hAnsi="Times New Roman"/>
          <w:sz w:val="28"/>
          <w:szCs w:val="28"/>
        </w:rPr>
        <w:t xml:space="preserve"> обусловлено возможным сокращением предоставленных в аренду земельных участков и</w:t>
      </w:r>
      <w:r>
        <w:rPr>
          <w:rFonts w:ascii="Times New Roman" w:hAnsi="Times New Roman"/>
          <w:sz w:val="28"/>
          <w:szCs w:val="28"/>
        </w:rPr>
        <w:t>з</w:t>
      </w:r>
      <w:r w:rsidRPr="00717B8B">
        <w:rPr>
          <w:rFonts w:ascii="Times New Roman" w:hAnsi="Times New Roman"/>
          <w:sz w:val="28"/>
          <w:szCs w:val="28"/>
        </w:rPr>
        <w:t xml:space="preserve"> земель сельскохозяйственного назначения в связи с их выкупом, а также уменьшением поступлений от аренды земельного участка, предоставленного в аренд</w:t>
      </w:r>
      <w:proofErr w:type="gramStart"/>
      <w:r w:rsidRPr="00717B8B">
        <w:rPr>
          <w:rFonts w:ascii="Times New Roman" w:hAnsi="Times New Roman"/>
          <w:sz w:val="28"/>
          <w:szCs w:val="28"/>
        </w:rPr>
        <w:t>у ООО</w:t>
      </w:r>
      <w:proofErr w:type="gramEnd"/>
      <w:r w:rsidRPr="00717B8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717B8B">
        <w:rPr>
          <w:rFonts w:ascii="Times New Roman" w:hAnsi="Times New Roman"/>
          <w:sz w:val="28"/>
          <w:szCs w:val="28"/>
        </w:rPr>
        <w:t>Интер</w:t>
      </w:r>
      <w:proofErr w:type="spellEnd"/>
      <w:r w:rsidRPr="00717B8B">
        <w:rPr>
          <w:rFonts w:ascii="Times New Roman" w:hAnsi="Times New Roman"/>
          <w:sz w:val="28"/>
          <w:szCs w:val="28"/>
        </w:rPr>
        <w:t>-Отель».</w:t>
      </w:r>
    </w:p>
    <w:p w:rsidR="003010C8" w:rsidRPr="00717B8B" w:rsidRDefault="003010C8" w:rsidP="005863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63AE" w:rsidRPr="00717B8B" w:rsidRDefault="005863AE" w:rsidP="005863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8B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</w:p>
    <w:p w:rsidR="005863AE" w:rsidRPr="00717B8B" w:rsidRDefault="005863AE" w:rsidP="00586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8B">
        <w:rPr>
          <w:rFonts w:ascii="Times New Roman" w:hAnsi="Times New Roman" w:cs="Times New Roman"/>
          <w:sz w:val="28"/>
          <w:szCs w:val="28"/>
        </w:rPr>
        <w:t>Прогноз поступления рассчитан исходя из суммарной годовой платы за аренду имущества, находящегося в собственности Ярославской области, по заключ</w:t>
      </w:r>
      <w:r w:rsidR="00075111">
        <w:rPr>
          <w:rFonts w:ascii="Times New Roman" w:hAnsi="Times New Roman" w:cs="Times New Roman"/>
          <w:sz w:val="28"/>
          <w:szCs w:val="28"/>
        </w:rPr>
        <w:t>е</w:t>
      </w:r>
      <w:r w:rsidRPr="00717B8B">
        <w:rPr>
          <w:rFonts w:ascii="Times New Roman" w:hAnsi="Times New Roman" w:cs="Times New Roman"/>
          <w:sz w:val="28"/>
          <w:szCs w:val="28"/>
        </w:rPr>
        <w:t>нным договорам аренды. Учтена собираемость арендной платы и ожидаемые поступления в виде погашения задолженности.</w:t>
      </w:r>
    </w:p>
    <w:p w:rsidR="005863AE" w:rsidRDefault="005863AE" w:rsidP="00FE4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8B">
        <w:rPr>
          <w:rFonts w:ascii="Times New Roman" w:hAnsi="Times New Roman" w:cs="Times New Roman"/>
          <w:sz w:val="28"/>
          <w:szCs w:val="28"/>
        </w:rPr>
        <w:t>Прогноз поступления по 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7B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млн</w:t>
      </w:r>
      <w:r w:rsidRPr="00717B8B">
        <w:rPr>
          <w:rFonts w:ascii="Times New Roman" w:hAnsi="Times New Roman" w:cs="Times New Roman"/>
          <w:sz w:val="28"/>
          <w:szCs w:val="28"/>
        </w:rPr>
        <w:t>. руб. ежегодно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7B8B">
        <w:rPr>
          <w:rFonts w:ascii="Times New Roman" w:hAnsi="Times New Roman" w:cs="Times New Roman"/>
          <w:sz w:val="28"/>
          <w:szCs w:val="28"/>
        </w:rPr>
        <w:t xml:space="preserve"> сформирован с учетом сокращения количества находящихся в собственности Ярославской области объектов недвижимого имущества, пригодных для вовлечения в хозяйственный оборот путем передачи в аренду, снижения спроса на рынке аренды нежилой недвижимости. Учтено сокращение числа действующих договоров аренды за счет реализации субъектами малого и среднего предпринимательства прав на выкуп занимаемых по договорам аренды площадей.</w:t>
      </w:r>
    </w:p>
    <w:p w:rsidR="003010C8" w:rsidRDefault="003010C8" w:rsidP="00FE4A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3AE" w:rsidRPr="00717B8B" w:rsidRDefault="005863AE" w:rsidP="005863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8B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</w:p>
    <w:p w:rsidR="005863AE" w:rsidRPr="00717B8B" w:rsidRDefault="005863AE" w:rsidP="00586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8B">
        <w:rPr>
          <w:rFonts w:ascii="Times New Roman" w:hAnsi="Times New Roman" w:cs="Times New Roman"/>
          <w:sz w:val="28"/>
          <w:szCs w:val="28"/>
        </w:rPr>
        <w:t>Прогноз поступления рассчитан исходя из бизнес-планов, разработанных государственными унитарными предприятиями, утвержд</w:t>
      </w:r>
      <w:r w:rsidR="00075111">
        <w:rPr>
          <w:rFonts w:ascii="Times New Roman" w:hAnsi="Times New Roman" w:cs="Times New Roman"/>
          <w:sz w:val="28"/>
          <w:szCs w:val="28"/>
        </w:rPr>
        <w:t>е</w:t>
      </w:r>
      <w:r w:rsidRPr="00717B8B">
        <w:rPr>
          <w:rFonts w:ascii="Times New Roman" w:hAnsi="Times New Roman" w:cs="Times New Roman"/>
          <w:sz w:val="28"/>
          <w:szCs w:val="28"/>
        </w:rPr>
        <w:t xml:space="preserve">нных балансовыми комиссиями. </w:t>
      </w:r>
    </w:p>
    <w:p w:rsidR="005863AE" w:rsidRPr="00717B8B" w:rsidRDefault="005863AE" w:rsidP="005863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394"/>
        <w:gridCol w:w="1465"/>
        <w:gridCol w:w="1465"/>
        <w:gridCol w:w="1465"/>
      </w:tblGrid>
      <w:tr w:rsidR="005863AE" w:rsidRPr="00717B8B" w:rsidTr="00A23640">
        <w:trPr>
          <w:trHeight w:val="20"/>
        </w:trPr>
        <w:tc>
          <w:tcPr>
            <w:tcW w:w="724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ind w:firstLine="10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Прогноз на 2017 г., </w:t>
            </w:r>
          </w:p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руб. 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Прогноз на 2018 г., </w:t>
            </w:r>
          </w:p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руб. 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Прогноз на 2019 г., </w:t>
            </w:r>
          </w:p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</w:tr>
      <w:tr w:rsidR="005863AE" w:rsidRPr="00717B8B" w:rsidTr="00A23640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ГП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ЯО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Ярославское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АТП»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5863AE" w:rsidRPr="00717B8B" w:rsidTr="00A23640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Ярдормост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17142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23196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36543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5863AE" w:rsidRPr="00717B8B" w:rsidTr="00A23640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4" w:type="dxa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ГП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ЯО «Областная фармация»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5863AE" w:rsidRPr="00717B8B" w:rsidTr="00A23640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4" w:type="dxa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ГП ЯО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«Аптека № 95»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5863AE" w:rsidRPr="00717B8B" w:rsidTr="00A23640">
        <w:trPr>
          <w:trHeight w:val="20"/>
        </w:trPr>
        <w:tc>
          <w:tcPr>
            <w:tcW w:w="724" w:type="dxa"/>
            <w:shd w:val="clear" w:color="auto" w:fill="auto"/>
            <w:noWrap/>
          </w:tcPr>
          <w:p w:rsidR="005863AE" w:rsidRPr="00717B8B" w:rsidRDefault="005863AE" w:rsidP="00A23640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4" w:type="dxa"/>
            <w:shd w:val="clear" w:color="auto" w:fill="auto"/>
            <w:noWrap/>
          </w:tcPr>
          <w:p w:rsidR="005863AE" w:rsidRPr="00717B8B" w:rsidRDefault="005863AE" w:rsidP="00A2364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sz w:val="28"/>
                <w:szCs w:val="28"/>
              </w:rPr>
              <w:t xml:space="preserve">ГП ЯО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«Аптека № 15»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5863AE" w:rsidRPr="00717B8B" w:rsidTr="00A23640">
        <w:trPr>
          <w:trHeight w:val="20"/>
        </w:trPr>
        <w:tc>
          <w:tcPr>
            <w:tcW w:w="5118" w:type="dxa"/>
            <w:gridSpan w:val="2"/>
            <w:shd w:val="clear" w:color="auto" w:fill="auto"/>
            <w:noWrap/>
            <w:hideMark/>
          </w:tcPr>
          <w:p w:rsidR="005863AE" w:rsidRPr="00717B8B" w:rsidRDefault="005863AE" w:rsidP="00A23640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5863AE" w:rsidRPr="00717B8B" w:rsidRDefault="005863AE" w:rsidP="00A23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7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</w:tbl>
    <w:p w:rsidR="00FE4A05" w:rsidRPr="00531E77" w:rsidRDefault="00FE4A05" w:rsidP="006F6031">
      <w:pPr>
        <w:pStyle w:val="ConsPlusNormal"/>
        <w:ind w:firstLine="709"/>
        <w:jc w:val="both"/>
      </w:pPr>
      <w:r w:rsidRPr="00531E77">
        <w:rPr>
          <w:b/>
        </w:rPr>
        <w:t>Плата за негативное воздействие на окружающую среду</w:t>
      </w:r>
      <w:r w:rsidR="00781783">
        <w:rPr>
          <w:b/>
        </w:rPr>
        <w:t>.</w:t>
      </w:r>
      <w:r w:rsidRPr="00531E77">
        <w:t xml:space="preserve"> </w:t>
      </w:r>
    </w:p>
    <w:p w:rsidR="00FE4A05" w:rsidRPr="00C543EF" w:rsidRDefault="00FE4A05" w:rsidP="006F6031">
      <w:pPr>
        <w:pStyle w:val="ConsPlusNormal"/>
        <w:ind w:firstLine="709"/>
        <w:jc w:val="both"/>
      </w:pPr>
      <w:proofErr w:type="gramStart"/>
      <w:r w:rsidRPr="00531E77">
        <w:t xml:space="preserve">Прогноз поступления  представлен главным администратором платы – </w:t>
      </w:r>
      <w:proofErr w:type="spellStart"/>
      <w:r w:rsidRPr="00531E77">
        <w:t>Росприроднадзором</w:t>
      </w:r>
      <w:proofErr w:type="spellEnd"/>
      <w:r w:rsidRPr="00531E77">
        <w:t xml:space="preserve"> по Ярославской области, с учетом </w:t>
      </w:r>
      <w:r w:rsidRPr="00C543EF">
        <w:t xml:space="preserve">изменений </w:t>
      </w:r>
      <w:r w:rsidRPr="00F37D83">
        <w:rPr>
          <w:highlight w:val="yellow"/>
        </w:rPr>
        <w:t xml:space="preserve"> </w:t>
      </w:r>
      <w:r w:rsidR="00A30864">
        <w:t>Ф</w:t>
      </w:r>
      <w:r w:rsidRPr="00C543EF">
        <w:t xml:space="preserve">едерального закона от 10.01.2002 №7-з </w:t>
      </w:r>
      <w:r w:rsidR="00966790">
        <w:t>«Об охране окружающей среды»</w:t>
      </w:r>
      <w:r w:rsidRPr="00C543EF">
        <w:t>, вступивших в силу с 1 января 2016 г., в том числе, в части исключения из видов негативного воздействия на окружающую среду, сброса загрязняющих веществ  на водосборные площади (неорганизованный сброс в водные объекты).</w:t>
      </w:r>
      <w:proofErr w:type="gramEnd"/>
      <w:r w:rsidRPr="00C543EF">
        <w:t xml:space="preserve"> В 2017 году данный вид платежа будет возвращен из бюджета по заявлению налогоплательщика или зачтен в счет будущих платежей. </w:t>
      </w:r>
      <w:proofErr w:type="gramStart"/>
      <w:r w:rsidRPr="00C543EF">
        <w:t>С учетом данных изменений прогнозируется снижение поступления платы в 2017 г</w:t>
      </w:r>
      <w:r w:rsidR="00A523A2">
        <w:t>оду</w:t>
      </w:r>
      <w:r w:rsidRPr="00C543EF">
        <w:t xml:space="preserve"> по сравнению с ожидаемым </w:t>
      </w:r>
      <w:r w:rsidR="00B52ACF">
        <w:t xml:space="preserve">в </w:t>
      </w:r>
      <w:r w:rsidRPr="00C543EF">
        <w:t>2016</w:t>
      </w:r>
      <w:r w:rsidR="00B52ACF">
        <w:t xml:space="preserve"> году</w:t>
      </w:r>
      <w:r w:rsidRPr="00C543EF">
        <w:t xml:space="preserve"> на 9,8%, в плановом периоде 2018-2019 гг. - обеспечение роста поступления платы на уровень инфляции. </w:t>
      </w:r>
      <w:proofErr w:type="gramEnd"/>
    </w:p>
    <w:p w:rsidR="00FE4A05" w:rsidRPr="00C543EF" w:rsidRDefault="00FE4A05" w:rsidP="006F6031">
      <w:pPr>
        <w:pStyle w:val="ConsPlusNormal"/>
        <w:ind w:firstLine="709"/>
        <w:jc w:val="both"/>
      </w:pPr>
      <w:r w:rsidRPr="00C543EF">
        <w:t>Прогноз поступления:</w:t>
      </w:r>
    </w:p>
    <w:p w:rsidR="00FE4A05" w:rsidRPr="00C543EF" w:rsidRDefault="00FE4A05" w:rsidP="006F6031">
      <w:pPr>
        <w:pStyle w:val="ConsPlusNormal"/>
        <w:ind w:firstLine="709"/>
        <w:jc w:val="both"/>
      </w:pPr>
      <w:r w:rsidRPr="00C543EF">
        <w:t>в 2017 году – 53,9 млн. руб.,</w:t>
      </w:r>
    </w:p>
    <w:p w:rsidR="00FE4A05" w:rsidRPr="00C543EF" w:rsidRDefault="00FE4A05" w:rsidP="006F6031">
      <w:pPr>
        <w:pStyle w:val="ConsPlusNormal"/>
        <w:ind w:firstLine="709"/>
        <w:jc w:val="both"/>
      </w:pPr>
      <w:r w:rsidRPr="00C543EF">
        <w:t>в 2018 году – 58,4 млн. руб.,</w:t>
      </w:r>
    </w:p>
    <w:p w:rsidR="000C7805" w:rsidRDefault="00FE4A05" w:rsidP="006F6031">
      <w:pPr>
        <w:pStyle w:val="ConsPlusNormal"/>
        <w:ind w:firstLine="709"/>
        <w:jc w:val="both"/>
      </w:pPr>
      <w:r w:rsidRPr="00C543EF">
        <w:t>в 2019 году – 60,1 млн. рублей.</w:t>
      </w:r>
    </w:p>
    <w:p w:rsidR="002D1C04" w:rsidRPr="00C543EF" w:rsidRDefault="002D1C04" w:rsidP="006F6031">
      <w:pPr>
        <w:pStyle w:val="ConsPlusNormal"/>
        <w:ind w:firstLine="709"/>
        <w:jc w:val="both"/>
        <w:rPr>
          <w:b/>
        </w:rPr>
      </w:pPr>
    </w:p>
    <w:p w:rsidR="00C543EF" w:rsidRPr="00C543EF" w:rsidRDefault="00C543EF" w:rsidP="006F6031">
      <w:pPr>
        <w:pStyle w:val="ConsPlusNormal"/>
        <w:ind w:firstLine="709"/>
        <w:jc w:val="both"/>
      </w:pPr>
      <w:r w:rsidRPr="00C543EF">
        <w:rPr>
          <w:b/>
        </w:rPr>
        <w:t>Платежи при пользовании недрами</w:t>
      </w:r>
      <w:r w:rsidR="00781783">
        <w:rPr>
          <w:b/>
        </w:rPr>
        <w:t>.</w:t>
      </w:r>
      <w:r w:rsidRPr="00C543EF">
        <w:t xml:space="preserve"> </w:t>
      </w:r>
    </w:p>
    <w:p w:rsidR="00C543EF" w:rsidRPr="00C543EF" w:rsidRDefault="00C543EF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3EF">
        <w:rPr>
          <w:rFonts w:ascii="Times New Roman" w:hAnsi="Times New Roman" w:cs="Times New Roman"/>
          <w:sz w:val="28"/>
          <w:szCs w:val="28"/>
        </w:rPr>
        <w:t xml:space="preserve">Прогноз поступления представлен главным администратором  платежей департаментом охраны окружающей среды и природопользования  Ярославской области. Расчет произведен исходя из планируемых к проведению аукционов количества выданных лицензий на геологическое изучение недр, стоимости затрат на подготовку и проведение конкурсов (аукционов).  </w:t>
      </w:r>
    </w:p>
    <w:p w:rsidR="00C543EF" w:rsidRPr="00C543EF" w:rsidRDefault="00C543EF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3EF">
        <w:rPr>
          <w:rFonts w:ascii="Times New Roman" w:hAnsi="Times New Roman" w:cs="Times New Roman"/>
          <w:sz w:val="28"/>
          <w:szCs w:val="28"/>
        </w:rPr>
        <w:t>Прогноз 2017 г. - 4,6 млн.</w:t>
      </w:r>
      <w:r w:rsidR="00C05BD6">
        <w:rPr>
          <w:rFonts w:ascii="Times New Roman" w:hAnsi="Times New Roman" w:cs="Times New Roman"/>
          <w:sz w:val="28"/>
          <w:szCs w:val="28"/>
        </w:rPr>
        <w:t xml:space="preserve"> </w:t>
      </w:r>
      <w:r w:rsidRPr="00C543EF">
        <w:rPr>
          <w:rFonts w:ascii="Times New Roman" w:hAnsi="Times New Roman" w:cs="Times New Roman"/>
          <w:sz w:val="28"/>
          <w:szCs w:val="28"/>
        </w:rPr>
        <w:t>руб.</w:t>
      </w:r>
    </w:p>
    <w:p w:rsidR="00C543EF" w:rsidRPr="00C543EF" w:rsidRDefault="00C543EF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3EF">
        <w:rPr>
          <w:rFonts w:ascii="Times New Roman" w:hAnsi="Times New Roman" w:cs="Times New Roman"/>
          <w:sz w:val="28"/>
          <w:szCs w:val="28"/>
        </w:rPr>
        <w:t>На период 2018-2019 год</w:t>
      </w:r>
      <w:r w:rsidR="00B52ACF">
        <w:rPr>
          <w:rFonts w:ascii="Times New Roman" w:hAnsi="Times New Roman" w:cs="Times New Roman"/>
          <w:sz w:val="28"/>
          <w:szCs w:val="28"/>
        </w:rPr>
        <w:t>ов</w:t>
      </w:r>
      <w:bookmarkStart w:id="0" w:name="_GoBack"/>
      <w:bookmarkEnd w:id="0"/>
      <w:r w:rsidRPr="00C543EF">
        <w:rPr>
          <w:rFonts w:ascii="Times New Roman" w:hAnsi="Times New Roman" w:cs="Times New Roman"/>
          <w:sz w:val="28"/>
          <w:szCs w:val="28"/>
        </w:rPr>
        <w:t xml:space="preserve"> планируется с</w:t>
      </w:r>
      <w:r w:rsidR="00CB480E">
        <w:rPr>
          <w:rFonts w:ascii="Times New Roman" w:hAnsi="Times New Roman" w:cs="Times New Roman"/>
          <w:sz w:val="28"/>
          <w:szCs w:val="28"/>
        </w:rPr>
        <w:t>нижение поступления платежей, та</w:t>
      </w:r>
      <w:r w:rsidRPr="00C543EF">
        <w:rPr>
          <w:rFonts w:ascii="Times New Roman" w:hAnsi="Times New Roman" w:cs="Times New Roman"/>
          <w:sz w:val="28"/>
          <w:szCs w:val="28"/>
        </w:rPr>
        <w:t>к</w:t>
      </w:r>
      <w:r w:rsidR="00CB480E">
        <w:rPr>
          <w:rFonts w:ascii="Times New Roman" w:hAnsi="Times New Roman" w:cs="Times New Roman"/>
          <w:sz w:val="28"/>
          <w:szCs w:val="28"/>
        </w:rPr>
        <w:t xml:space="preserve"> как</w:t>
      </w:r>
      <w:r w:rsidRPr="00C543EF">
        <w:rPr>
          <w:rFonts w:ascii="Times New Roman" w:hAnsi="Times New Roman" w:cs="Times New Roman"/>
          <w:sz w:val="28"/>
          <w:szCs w:val="28"/>
        </w:rPr>
        <w:t>:</w:t>
      </w:r>
    </w:p>
    <w:p w:rsidR="00C543EF" w:rsidRPr="00C543EF" w:rsidRDefault="00C543EF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3EF">
        <w:rPr>
          <w:rFonts w:ascii="Times New Roman" w:hAnsi="Times New Roman" w:cs="Times New Roman"/>
          <w:sz w:val="28"/>
          <w:szCs w:val="28"/>
        </w:rPr>
        <w:t>- часть месторождений общераспростран</w:t>
      </w:r>
      <w:r w:rsidR="00075111">
        <w:rPr>
          <w:rFonts w:ascii="Times New Roman" w:hAnsi="Times New Roman" w:cs="Times New Roman"/>
          <w:sz w:val="28"/>
          <w:szCs w:val="28"/>
        </w:rPr>
        <w:t>е</w:t>
      </w:r>
      <w:r w:rsidRPr="00C543EF">
        <w:rPr>
          <w:rFonts w:ascii="Times New Roman" w:hAnsi="Times New Roman" w:cs="Times New Roman"/>
          <w:sz w:val="28"/>
          <w:szCs w:val="28"/>
        </w:rPr>
        <w:t>нных полезных ископаемых, с утвержд</w:t>
      </w:r>
      <w:r w:rsidR="00075111">
        <w:rPr>
          <w:rFonts w:ascii="Times New Roman" w:hAnsi="Times New Roman" w:cs="Times New Roman"/>
          <w:sz w:val="28"/>
          <w:szCs w:val="28"/>
        </w:rPr>
        <w:t>е</w:t>
      </w:r>
      <w:r w:rsidRPr="00C543EF">
        <w:rPr>
          <w:rFonts w:ascii="Times New Roman" w:hAnsi="Times New Roman" w:cs="Times New Roman"/>
          <w:sz w:val="28"/>
          <w:szCs w:val="28"/>
        </w:rPr>
        <w:t>нными запасами, в основном уже передана в пользование по результатам аукционов;</w:t>
      </w:r>
    </w:p>
    <w:p w:rsidR="00C543EF" w:rsidRPr="00C543EF" w:rsidRDefault="00C543EF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3EF">
        <w:rPr>
          <w:rFonts w:ascii="Times New Roman" w:hAnsi="Times New Roman" w:cs="Times New Roman"/>
          <w:sz w:val="28"/>
          <w:szCs w:val="28"/>
        </w:rPr>
        <w:t>-остальная часть участков недр находится на особо защитных участках леса или на особо охраняемых природных территориях и не может включаться в Перечень участков недр местного значения для предоставления в пользование.</w:t>
      </w:r>
    </w:p>
    <w:p w:rsidR="00C543EF" w:rsidRDefault="00C543EF" w:rsidP="006F6031">
      <w:pPr>
        <w:pStyle w:val="ConsPlusNormal"/>
        <w:ind w:firstLine="709"/>
        <w:jc w:val="both"/>
      </w:pPr>
      <w:r w:rsidRPr="00C543EF">
        <w:t>Прогноз поступления в 2018</w:t>
      </w:r>
      <w:r>
        <w:t xml:space="preserve">, </w:t>
      </w:r>
      <w:r w:rsidRPr="00C543EF">
        <w:t xml:space="preserve">2019 </w:t>
      </w:r>
      <w:r>
        <w:t>годах</w:t>
      </w:r>
      <w:r w:rsidRPr="00C543EF">
        <w:t xml:space="preserve">  – 3,6 млн. руб. ежегодно.</w:t>
      </w:r>
    </w:p>
    <w:p w:rsidR="002D1C04" w:rsidRDefault="002D1C04" w:rsidP="006F6031">
      <w:pPr>
        <w:pStyle w:val="ConsPlusNormal"/>
        <w:ind w:firstLine="709"/>
        <w:jc w:val="both"/>
      </w:pPr>
    </w:p>
    <w:p w:rsidR="004737C0" w:rsidRPr="00531E77" w:rsidRDefault="004737C0" w:rsidP="006F6031">
      <w:pPr>
        <w:pStyle w:val="ConsPlusNormal"/>
        <w:ind w:firstLine="709"/>
        <w:jc w:val="both"/>
      </w:pPr>
      <w:r w:rsidRPr="00531E77">
        <w:rPr>
          <w:b/>
        </w:rPr>
        <w:t>Плата за использование лес</w:t>
      </w:r>
      <w:r>
        <w:rPr>
          <w:b/>
        </w:rPr>
        <w:t>ов</w:t>
      </w:r>
      <w:r w:rsidR="00781783">
        <w:rPr>
          <w:b/>
        </w:rPr>
        <w:t>.</w:t>
      </w:r>
    </w:p>
    <w:p w:rsidR="004737C0" w:rsidRPr="00531E77" w:rsidRDefault="004737C0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представлен главным </w:t>
      </w:r>
      <w:r w:rsidRPr="00531E77">
        <w:rPr>
          <w:rFonts w:ascii="Times New Roman" w:hAnsi="Times New Roman" w:cs="Times New Roman"/>
          <w:sz w:val="28"/>
          <w:szCs w:val="28"/>
        </w:rPr>
        <w:t>администратором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департаментом лесного хозяйства Ярославской области. Расчет произведен исходя из объема используемых лесных ресурсов, средних ставок пл</w:t>
      </w:r>
      <w:r w:rsidR="0012331C">
        <w:rPr>
          <w:rFonts w:ascii="Times New Roman" w:hAnsi="Times New Roman" w:cs="Times New Roman"/>
          <w:sz w:val="28"/>
          <w:szCs w:val="28"/>
        </w:rPr>
        <w:t>аты за единицу объема древесины.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 w:rsidR="0012331C">
        <w:rPr>
          <w:rFonts w:ascii="Times New Roman" w:hAnsi="Times New Roman" w:cs="Times New Roman"/>
          <w:sz w:val="28"/>
          <w:szCs w:val="28"/>
        </w:rPr>
        <w:t>У</w:t>
      </w:r>
      <w:r w:rsidRPr="00531E77">
        <w:rPr>
          <w:rFonts w:ascii="Times New Roman" w:hAnsi="Times New Roman" w:cs="Times New Roman"/>
          <w:sz w:val="28"/>
          <w:szCs w:val="28"/>
        </w:rPr>
        <w:t>ч</w:t>
      </w:r>
      <w:r w:rsidR="0012331C">
        <w:rPr>
          <w:rFonts w:ascii="Times New Roman" w:hAnsi="Times New Roman" w:cs="Times New Roman"/>
          <w:sz w:val="28"/>
          <w:szCs w:val="28"/>
        </w:rPr>
        <w:t>тен</w:t>
      </w:r>
      <w:r w:rsidR="00C543EF">
        <w:rPr>
          <w:rFonts w:ascii="Times New Roman" w:hAnsi="Times New Roman" w:cs="Times New Roman"/>
          <w:sz w:val="28"/>
          <w:szCs w:val="28"/>
        </w:rPr>
        <w:t>а</w:t>
      </w:r>
      <w:r w:rsidR="0012331C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индекс</w:t>
      </w:r>
      <w:r w:rsidR="00C543EF">
        <w:rPr>
          <w:rFonts w:ascii="Times New Roman" w:hAnsi="Times New Roman" w:cs="Times New Roman"/>
          <w:sz w:val="28"/>
          <w:szCs w:val="28"/>
        </w:rPr>
        <w:t>ация</w:t>
      </w:r>
      <w:r w:rsidRPr="00531E77">
        <w:rPr>
          <w:rFonts w:ascii="Times New Roman" w:hAnsi="Times New Roman" w:cs="Times New Roman"/>
          <w:sz w:val="28"/>
          <w:szCs w:val="28"/>
        </w:rPr>
        <w:t xml:space="preserve"> ставок плат</w:t>
      </w:r>
      <w:r>
        <w:rPr>
          <w:rFonts w:ascii="Times New Roman" w:hAnsi="Times New Roman" w:cs="Times New Roman"/>
          <w:sz w:val="28"/>
          <w:szCs w:val="28"/>
        </w:rPr>
        <w:t xml:space="preserve">ы за использование лесов </w:t>
      </w:r>
      <w:r w:rsidR="00C05BD6">
        <w:rPr>
          <w:rFonts w:ascii="Times New Roman" w:hAnsi="Times New Roman" w:cs="Times New Roman"/>
          <w:sz w:val="28"/>
          <w:szCs w:val="28"/>
        </w:rPr>
        <w:t>на 2017 год</w:t>
      </w:r>
      <w:r w:rsidR="001233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2B6">
        <w:rPr>
          <w:rFonts w:ascii="Times New Roman" w:hAnsi="Times New Roman" w:cs="Times New Roman"/>
          <w:sz w:val="28"/>
          <w:szCs w:val="28"/>
        </w:rPr>
        <w:t>утвержденная</w:t>
      </w:r>
      <w:r w:rsidRPr="00531E77">
        <w:rPr>
          <w:rFonts w:ascii="Times New Roman" w:hAnsi="Times New Roman" w:cs="Times New Roman"/>
          <w:sz w:val="28"/>
          <w:szCs w:val="28"/>
        </w:rPr>
        <w:t xml:space="preserve"> постановлением  Правительства </w:t>
      </w:r>
      <w:r w:rsidR="002D1C04" w:rsidRPr="002D1C0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531E77">
        <w:rPr>
          <w:rFonts w:ascii="Times New Roman" w:hAnsi="Times New Roman" w:cs="Times New Roman"/>
          <w:sz w:val="28"/>
          <w:szCs w:val="28"/>
        </w:rPr>
        <w:t xml:space="preserve"> от 17.09.2014 №</w:t>
      </w:r>
      <w:r w:rsidR="00C05BD6">
        <w:rPr>
          <w:rFonts w:ascii="Times New Roman" w:hAnsi="Times New Roman" w:cs="Times New Roman"/>
          <w:sz w:val="28"/>
          <w:szCs w:val="28"/>
        </w:rPr>
        <w:t> </w:t>
      </w:r>
      <w:r w:rsidRPr="00531E77">
        <w:rPr>
          <w:rFonts w:ascii="Times New Roman" w:hAnsi="Times New Roman" w:cs="Times New Roman"/>
          <w:sz w:val="28"/>
          <w:szCs w:val="28"/>
        </w:rPr>
        <w:t>947 «О коэффициентах к ставкам платы за единицу объема площади лесного участка, находящего</w:t>
      </w:r>
      <w:r w:rsidR="0012331C">
        <w:rPr>
          <w:rFonts w:ascii="Times New Roman" w:hAnsi="Times New Roman" w:cs="Times New Roman"/>
          <w:sz w:val="28"/>
          <w:szCs w:val="28"/>
        </w:rPr>
        <w:t>ся в федеральной собственности» в размере – 1,49.</w:t>
      </w:r>
    </w:p>
    <w:p w:rsidR="006402B6" w:rsidRDefault="004737C0" w:rsidP="006F6031">
      <w:pPr>
        <w:pStyle w:val="ConsPlusNormal"/>
        <w:ind w:firstLine="709"/>
        <w:jc w:val="both"/>
      </w:pPr>
      <w:r>
        <w:t>Прогноз поступления в 2017</w:t>
      </w:r>
      <w:r w:rsidRPr="00531E77">
        <w:t xml:space="preserve"> году –</w:t>
      </w:r>
      <w:r w:rsidR="006402B6">
        <w:t xml:space="preserve"> </w:t>
      </w:r>
      <w:r>
        <w:t>18,2 млн. руб., в 2018</w:t>
      </w:r>
      <w:r w:rsidRPr="00531E77">
        <w:t xml:space="preserve"> году</w:t>
      </w:r>
      <w:r>
        <w:t xml:space="preserve"> –  18,6 млн. руб., в 2019 году – 18,6</w:t>
      </w:r>
      <w:r w:rsidRPr="00531E77">
        <w:t xml:space="preserve"> млн. руб</w:t>
      </w:r>
      <w:r w:rsidR="005863AE">
        <w:t>лей</w:t>
      </w:r>
      <w:r w:rsidRPr="00531E77">
        <w:t>.</w:t>
      </w:r>
    </w:p>
    <w:p w:rsidR="003010C8" w:rsidRDefault="003010C8" w:rsidP="006F6031">
      <w:pPr>
        <w:pStyle w:val="ConsPlusNormal"/>
        <w:ind w:firstLine="709"/>
        <w:jc w:val="both"/>
      </w:pPr>
    </w:p>
    <w:p w:rsidR="00BB2D50" w:rsidRDefault="00BB2D50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313">
        <w:rPr>
          <w:rFonts w:ascii="Times New Roman" w:hAnsi="Times New Roman" w:cs="Times New Roman"/>
          <w:b/>
          <w:sz w:val="28"/>
          <w:szCs w:val="28"/>
        </w:rPr>
        <w:t>Доходы от оказания платных услуг (работ) и компенсации затрат государства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031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,0</w:t>
      </w:r>
      <w:r w:rsidR="009C2FF3">
        <w:rPr>
          <w:rFonts w:ascii="Times New Roman" w:hAnsi="Times New Roman" w:cs="Times New Roman"/>
          <w:sz w:val="28"/>
          <w:szCs w:val="28"/>
        </w:rPr>
        <w:t> </w:t>
      </w:r>
      <w:r w:rsidRPr="00B30313">
        <w:rPr>
          <w:rFonts w:ascii="Times New Roman" w:hAnsi="Times New Roman" w:cs="Times New Roman"/>
          <w:sz w:val="28"/>
          <w:szCs w:val="28"/>
        </w:rPr>
        <w:t>млн.</w:t>
      </w:r>
      <w:r w:rsidR="00C05BD6">
        <w:rPr>
          <w:rFonts w:ascii="Times New Roman" w:hAnsi="Times New Roman" w:cs="Times New Roman"/>
          <w:sz w:val="28"/>
          <w:szCs w:val="28"/>
        </w:rPr>
        <w:t> </w:t>
      </w:r>
      <w:r w:rsidRPr="00B30313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Прогноз представлен главными администраторами данных доходов, в том числе:</w:t>
      </w:r>
    </w:p>
    <w:p w:rsidR="00BB2D50" w:rsidRDefault="00BB2D50" w:rsidP="006F6031">
      <w:pPr>
        <w:pStyle w:val="ConsPlusNormal"/>
        <w:ind w:firstLine="709"/>
        <w:jc w:val="both"/>
      </w:pPr>
      <w:r>
        <w:t>- прочие доходы от оказания платных услуг (работ) получателями средств бюджетов субъектов Российской Федерации - 29,8 млн. руб.;</w:t>
      </w:r>
    </w:p>
    <w:p w:rsidR="00BB2D50" w:rsidRDefault="00BB2D50" w:rsidP="006F6031">
      <w:pPr>
        <w:pStyle w:val="ConsPlusNormal"/>
        <w:ind w:firstLine="709"/>
        <w:jc w:val="both"/>
      </w:pPr>
      <w:r>
        <w:t>- прочие доходы от компенсации затрат бюджетов субъектов Российской Федерации – 10,2 млн. руб.;</w:t>
      </w:r>
    </w:p>
    <w:p w:rsidR="00BB2D50" w:rsidRDefault="00BB2D50" w:rsidP="006F6031">
      <w:pPr>
        <w:pStyle w:val="ConsPlusNormal"/>
        <w:ind w:firstLine="709"/>
        <w:jc w:val="both"/>
      </w:pPr>
      <w:r>
        <w:t>- доходы, поступающие в порядке возмещения расходов, понесенных в связи с эксплуатацией имущества субъе</w:t>
      </w:r>
      <w:r w:rsidR="00C05BD6">
        <w:t>ктов Российской Федерации – 7,9 </w:t>
      </w:r>
      <w:r>
        <w:t>млн. руб.</w:t>
      </w:r>
    </w:p>
    <w:p w:rsidR="00BB2D50" w:rsidRDefault="00BB2D50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поступления:</w:t>
      </w:r>
    </w:p>
    <w:p w:rsidR="00BB2D50" w:rsidRDefault="00BB2D50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– 48,0 млн. руб., </w:t>
      </w:r>
    </w:p>
    <w:p w:rsidR="00BB2D50" w:rsidRDefault="00BB2D50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</w:t>
      </w:r>
      <w:r w:rsidR="001C7F0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– 48,6 млн. руб.</w:t>
      </w:r>
    </w:p>
    <w:p w:rsidR="003010C8" w:rsidRPr="00717B8B" w:rsidRDefault="003010C8" w:rsidP="006F6031">
      <w:pPr>
        <w:spacing w:after="0" w:line="240" w:lineRule="auto"/>
        <w:ind w:firstLine="709"/>
        <w:jc w:val="both"/>
      </w:pPr>
    </w:p>
    <w:p w:rsidR="006402B6" w:rsidRPr="00717B8B" w:rsidRDefault="006402B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8B">
        <w:rPr>
          <w:rFonts w:ascii="Times New Roman" w:hAnsi="Times New Roman" w:cs="Times New Roman"/>
          <w:b/>
          <w:sz w:val="28"/>
          <w:szCs w:val="28"/>
        </w:rPr>
        <w:t>Доходы от реализации имущества, находящегося в собственности субъектов Российской Федерации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</w:p>
    <w:p w:rsidR="006402B6" w:rsidRPr="00717B8B" w:rsidRDefault="006402B6" w:rsidP="006F6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B8B">
        <w:rPr>
          <w:rFonts w:ascii="Times New Roman" w:hAnsi="Times New Roman" w:cs="Times New Roman"/>
          <w:sz w:val="28"/>
          <w:szCs w:val="28"/>
        </w:rPr>
        <w:t>Прогноз поступления в 2017 г</w:t>
      </w:r>
      <w:r w:rsidR="008B668F">
        <w:rPr>
          <w:rFonts w:ascii="Times New Roman" w:hAnsi="Times New Roman" w:cs="Times New Roman"/>
          <w:sz w:val="28"/>
          <w:szCs w:val="28"/>
        </w:rPr>
        <w:t>оду</w:t>
      </w:r>
      <w:r w:rsidRPr="00717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717B8B">
        <w:rPr>
          <w:rFonts w:ascii="Times New Roman" w:hAnsi="Times New Roman" w:cs="Times New Roman"/>
          <w:sz w:val="28"/>
          <w:szCs w:val="28"/>
        </w:rPr>
        <w:t>33</w:t>
      </w:r>
      <w:r w:rsidR="00A06EA5">
        <w:rPr>
          <w:rFonts w:ascii="Times New Roman" w:hAnsi="Times New Roman" w:cs="Times New Roman"/>
          <w:sz w:val="28"/>
          <w:szCs w:val="28"/>
        </w:rPr>
        <w:t>,1 млн</w:t>
      </w:r>
      <w:r>
        <w:rPr>
          <w:rFonts w:ascii="Times New Roman" w:hAnsi="Times New Roman" w:cs="Times New Roman"/>
          <w:sz w:val="28"/>
          <w:szCs w:val="28"/>
        </w:rPr>
        <w:t>. руб.</w:t>
      </w:r>
      <w:r w:rsidRPr="00717B8B">
        <w:rPr>
          <w:rFonts w:ascii="Times New Roman" w:hAnsi="Times New Roman" w:cs="Times New Roman"/>
          <w:sz w:val="28"/>
          <w:szCs w:val="28"/>
        </w:rPr>
        <w:t xml:space="preserve"> рассчитан с уч</w:t>
      </w:r>
      <w:r w:rsidR="00075111">
        <w:rPr>
          <w:rFonts w:ascii="Times New Roman" w:hAnsi="Times New Roman" w:cs="Times New Roman"/>
          <w:sz w:val="28"/>
          <w:szCs w:val="28"/>
        </w:rPr>
        <w:t>е</w:t>
      </w:r>
      <w:r w:rsidRPr="00717B8B">
        <w:rPr>
          <w:rFonts w:ascii="Times New Roman" w:hAnsi="Times New Roman" w:cs="Times New Roman"/>
          <w:sz w:val="28"/>
          <w:szCs w:val="28"/>
        </w:rPr>
        <w:t xml:space="preserve">том следующих предполагаемых </w:t>
      </w:r>
      <w:r w:rsidRPr="00717B8B">
        <w:rPr>
          <w:rFonts w:ascii="Times New Roman" w:eastAsia="Calibri" w:hAnsi="Times New Roman" w:cs="Times New Roman"/>
          <w:sz w:val="28"/>
          <w:szCs w:val="28"/>
        </w:rPr>
        <w:t>поступлений:</w:t>
      </w:r>
    </w:p>
    <w:p w:rsidR="006402B6" w:rsidRPr="00717B8B" w:rsidRDefault="006402B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8B">
        <w:rPr>
          <w:rFonts w:ascii="Times New Roman" w:eastAsia="Calibri" w:hAnsi="Times New Roman" w:cs="Times New Roman"/>
          <w:sz w:val="28"/>
          <w:szCs w:val="28"/>
        </w:rPr>
        <w:t xml:space="preserve">1) ожидаемые поступления в областной бюджет от планируемого к приватизации в период 2017 года имущества с земельным участком, расположенного по адресу: Ярославская область, </w:t>
      </w:r>
      <w:proofErr w:type="spellStart"/>
      <w:r w:rsidRPr="00717B8B">
        <w:rPr>
          <w:rFonts w:ascii="Times New Roman" w:eastAsia="Calibri" w:hAnsi="Times New Roman" w:cs="Times New Roman"/>
          <w:sz w:val="28"/>
          <w:szCs w:val="28"/>
        </w:rPr>
        <w:t>Переславский</w:t>
      </w:r>
      <w:proofErr w:type="spellEnd"/>
      <w:r w:rsidRPr="00717B8B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Pr="00717B8B">
        <w:rPr>
          <w:rFonts w:ascii="Times New Roman" w:eastAsia="Calibri" w:hAnsi="Times New Roman" w:cs="Times New Roman"/>
          <w:sz w:val="28"/>
          <w:szCs w:val="28"/>
        </w:rPr>
        <w:t>Глебовский</w:t>
      </w:r>
      <w:proofErr w:type="spellEnd"/>
      <w:r w:rsidRPr="00717B8B">
        <w:rPr>
          <w:rFonts w:ascii="Times New Roman" w:eastAsia="Calibri" w:hAnsi="Times New Roman" w:cs="Times New Roman"/>
          <w:sz w:val="28"/>
          <w:szCs w:val="28"/>
        </w:rPr>
        <w:t xml:space="preserve"> сельский округ, с. Гагаринская новоселка, ул. Садовая</w:t>
      </w:r>
      <w:r>
        <w:rPr>
          <w:rFonts w:ascii="Times New Roman" w:eastAsia="Calibri" w:hAnsi="Times New Roman" w:cs="Times New Roman"/>
          <w:sz w:val="28"/>
          <w:szCs w:val="28"/>
        </w:rPr>
        <w:t>. П</w:t>
      </w:r>
      <w:r w:rsidR="00527E71">
        <w:rPr>
          <w:rFonts w:ascii="Times New Roman" w:eastAsia="Calibri" w:hAnsi="Times New Roman" w:cs="Times New Roman"/>
          <w:sz w:val="28"/>
          <w:szCs w:val="28"/>
        </w:rPr>
        <w:t xml:space="preserve">рогнозируемая стоимость - </w:t>
      </w:r>
      <w:r w:rsidRPr="00717B8B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17B8B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млн. </w:t>
      </w:r>
      <w:r w:rsidRPr="00717B8B">
        <w:rPr>
          <w:rFonts w:ascii="Times New Roman" w:eastAsia="Calibri" w:hAnsi="Times New Roman" w:cs="Times New Roman"/>
          <w:sz w:val="28"/>
          <w:szCs w:val="28"/>
        </w:rPr>
        <w:t>руб</w:t>
      </w:r>
      <w:r>
        <w:rPr>
          <w:rFonts w:ascii="Times New Roman" w:eastAsia="Calibri" w:hAnsi="Times New Roman" w:cs="Times New Roman"/>
          <w:sz w:val="28"/>
          <w:szCs w:val="28"/>
        </w:rPr>
        <w:t>.;</w:t>
      </w:r>
    </w:p>
    <w:p w:rsidR="006402B6" w:rsidRPr="00717B8B" w:rsidRDefault="006402B6" w:rsidP="006F6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17B8B">
        <w:rPr>
          <w:rFonts w:ascii="Times New Roman" w:eastAsia="Calibri" w:hAnsi="Times New Roman" w:cs="Times New Roman"/>
          <w:sz w:val="28"/>
          <w:szCs w:val="28"/>
        </w:rPr>
        <w:t>2) платежи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17B8B">
        <w:rPr>
          <w:rFonts w:ascii="Times New Roman" w:eastAsia="Calibri" w:hAnsi="Times New Roman" w:cs="Times New Roman"/>
          <w:sz w:val="28"/>
          <w:szCs w:val="28"/>
        </w:rPr>
        <w:t xml:space="preserve"> поступающие в счет оплаты за недвижимое имущество, выкупаемое в порядке, установленном Федеральным законом от 22 июля 2008 года № 159-ФЗ «Об </w:t>
      </w:r>
      <w:r w:rsidRPr="00717B8B">
        <w:rPr>
          <w:rFonts w:ascii="Times New Roman" w:hAnsi="Times New Roman" w:cs="Times New Roman"/>
          <w:sz w:val="28"/>
          <w:szCs w:val="28"/>
        </w:rPr>
        <w:t>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Поступление</w:t>
      </w:r>
      <w:r w:rsidR="00527E71">
        <w:rPr>
          <w:rFonts w:ascii="Times New Roman" w:hAnsi="Times New Roman" w:cs="Times New Roman"/>
          <w:sz w:val="28"/>
          <w:szCs w:val="28"/>
        </w:rPr>
        <w:t xml:space="preserve"> - </w:t>
      </w:r>
      <w:r w:rsidRPr="00717B8B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C272DC">
        <w:rPr>
          <w:rFonts w:ascii="Times New Roman" w:eastAsia="Calibri" w:hAnsi="Times New Roman" w:cs="Times New Roman"/>
          <w:sz w:val="28"/>
          <w:szCs w:val="28"/>
        </w:rPr>
        <w:t>0</w:t>
      </w:r>
      <w:r w:rsidR="00C05BD6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млн</w:t>
      </w:r>
      <w:r w:rsidRPr="00717B8B">
        <w:rPr>
          <w:rFonts w:ascii="Times New Roman" w:eastAsia="Calibri" w:hAnsi="Times New Roman" w:cs="Times New Roman"/>
          <w:sz w:val="28"/>
          <w:szCs w:val="28"/>
        </w:rPr>
        <w:t>. руб.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6402B6" w:rsidRDefault="006402B6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8B">
        <w:rPr>
          <w:rFonts w:ascii="Times New Roman" w:hAnsi="Times New Roman" w:cs="Times New Roman"/>
          <w:sz w:val="28"/>
          <w:szCs w:val="28"/>
        </w:rPr>
        <w:t xml:space="preserve">Прогноз поступления в 2018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17B8B">
        <w:rPr>
          <w:rFonts w:ascii="Times New Roman" w:hAnsi="Times New Roman" w:cs="Times New Roman"/>
          <w:sz w:val="28"/>
          <w:szCs w:val="28"/>
        </w:rPr>
        <w:t xml:space="preserve"> 2019 г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717B8B">
        <w:rPr>
          <w:rFonts w:ascii="Times New Roman" w:hAnsi="Times New Roman" w:cs="Times New Roman"/>
          <w:sz w:val="28"/>
          <w:szCs w:val="28"/>
        </w:rPr>
        <w:t>по 7</w:t>
      </w:r>
      <w:r w:rsidR="00E3231C">
        <w:rPr>
          <w:rFonts w:ascii="Times New Roman" w:hAnsi="Times New Roman" w:cs="Times New Roman"/>
          <w:sz w:val="28"/>
          <w:szCs w:val="28"/>
        </w:rPr>
        <w:t>,1 млн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7B8B">
        <w:rPr>
          <w:rFonts w:ascii="Times New Roman" w:hAnsi="Times New Roman" w:cs="Times New Roman"/>
          <w:sz w:val="28"/>
          <w:szCs w:val="28"/>
        </w:rPr>
        <w:t>руб. ежегодно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B8B">
        <w:rPr>
          <w:rFonts w:ascii="Times New Roman" w:hAnsi="Times New Roman" w:cs="Times New Roman"/>
          <w:sz w:val="28"/>
          <w:szCs w:val="28"/>
        </w:rPr>
        <w:t>рассчитан с уч</w:t>
      </w:r>
      <w:r w:rsidR="00075111">
        <w:rPr>
          <w:rFonts w:ascii="Times New Roman" w:hAnsi="Times New Roman" w:cs="Times New Roman"/>
          <w:sz w:val="28"/>
          <w:szCs w:val="28"/>
        </w:rPr>
        <w:t>е</w:t>
      </w:r>
      <w:r w:rsidRPr="00717B8B">
        <w:rPr>
          <w:rFonts w:ascii="Times New Roman" w:hAnsi="Times New Roman" w:cs="Times New Roman"/>
          <w:sz w:val="28"/>
          <w:szCs w:val="28"/>
        </w:rPr>
        <w:t xml:space="preserve">том сокращения количества находящегося в собственности области ликвидного имущества, а также сложившейся динамики снижения цен на коммерческую недвижимость, вызванную перенасыщением данного сегмента рынка. </w:t>
      </w:r>
    </w:p>
    <w:p w:rsidR="003010C8" w:rsidRDefault="003010C8" w:rsidP="006F6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C25" w:rsidRDefault="00637736" w:rsidP="006F60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Штрафы,</w:t>
      </w:r>
      <w:r w:rsidRPr="006377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санкции, возмещение ущерба</w:t>
      </w:r>
      <w:r w:rsidR="00781783">
        <w:rPr>
          <w:rFonts w:ascii="Times New Roman" w:hAnsi="Times New Roman" w:cs="Times New Roman"/>
          <w:b/>
          <w:sz w:val="28"/>
          <w:szCs w:val="28"/>
        </w:rPr>
        <w:t>.</w:t>
      </w:r>
    </w:p>
    <w:p w:rsidR="00637736" w:rsidRDefault="00637736" w:rsidP="009101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736">
        <w:rPr>
          <w:rFonts w:ascii="Times New Roman" w:hAnsi="Times New Roman" w:cs="Times New Roman"/>
          <w:sz w:val="28"/>
          <w:szCs w:val="28"/>
        </w:rPr>
        <w:t>Прогноз поступления представлен главными администраторам</w:t>
      </w:r>
      <w:r w:rsidR="000B59F3">
        <w:rPr>
          <w:rFonts w:ascii="Times New Roman" w:hAnsi="Times New Roman" w:cs="Times New Roman"/>
          <w:sz w:val="28"/>
          <w:szCs w:val="28"/>
        </w:rPr>
        <w:t>и</w:t>
      </w:r>
      <w:r w:rsidRPr="00637736">
        <w:rPr>
          <w:rFonts w:ascii="Times New Roman" w:hAnsi="Times New Roman" w:cs="Times New Roman"/>
          <w:sz w:val="28"/>
          <w:szCs w:val="28"/>
        </w:rPr>
        <w:t xml:space="preserve"> </w:t>
      </w:r>
      <w:r w:rsidRPr="009E6F2E">
        <w:rPr>
          <w:rFonts w:ascii="Times New Roman" w:hAnsi="Times New Roman" w:cs="Times New Roman"/>
          <w:sz w:val="28"/>
          <w:szCs w:val="28"/>
        </w:rPr>
        <w:t>соответствующих штрафов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6F2E">
        <w:rPr>
          <w:rFonts w:ascii="Times New Roman" w:hAnsi="Times New Roman" w:cs="Times New Roman"/>
          <w:sz w:val="28"/>
          <w:szCs w:val="28"/>
        </w:rPr>
        <w:t xml:space="preserve"> </w:t>
      </w:r>
      <w:r w:rsidRPr="00D84CFB">
        <w:rPr>
          <w:rFonts w:ascii="Times New Roman" w:hAnsi="Times New Roman" w:cs="Times New Roman"/>
          <w:sz w:val="28"/>
          <w:szCs w:val="28"/>
        </w:rPr>
        <w:t xml:space="preserve">Основную </w:t>
      </w:r>
      <w:r>
        <w:rPr>
          <w:rFonts w:ascii="Times New Roman" w:hAnsi="Times New Roman" w:cs="Times New Roman"/>
          <w:sz w:val="28"/>
          <w:szCs w:val="28"/>
        </w:rPr>
        <w:t xml:space="preserve">сумму поступления составляют </w:t>
      </w:r>
      <w:r w:rsidRPr="002650EA">
        <w:rPr>
          <w:rFonts w:ascii="Times New Roman" w:hAnsi="Times New Roman" w:cs="Times New Roman"/>
          <w:sz w:val="28"/>
          <w:szCs w:val="28"/>
        </w:rPr>
        <w:t>штрафы за нарушение законодательства о безопасности дорожного движения</w:t>
      </w:r>
      <w:r w:rsidR="003D3383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560 млн. руб., увеличение к текущему году на 60 млн. рублей.</w:t>
      </w:r>
    </w:p>
    <w:p w:rsidR="00637736" w:rsidRPr="00531E77" w:rsidRDefault="00637736" w:rsidP="006F6031">
      <w:pPr>
        <w:pStyle w:val="ConsPlusNormal"/>
        <w:ind w:firstLine="709"/>
        <w:contextualSpacing/>
        <w:jc w:val="both"/>
      </w:pPr>
      <w:r w:rsidRPr="00531E77">
        <w:t>Прогноз поступления:</w:t>
      </w:r>
    </w:p>
    <w:p w:rsidR="00637736" w:rsidRPr="00531E77" w:rsidRDefault="00637736" w:rsidP="006F6031">
      <w:pPr>
        <w:pStyle w:val="ConsPlusNormal"/>
        <w:ind w:firstLine="709"/>
        <w:contextualSpacing/>
        <w:jc w:val="both"/>
      </w:pPr>
      <w:r>
        <w:t>в 2017</w:t>
      </w:r>
      <w:r w:rsidRPr="00531E77">
        <w:t xml:space="preserve"> году -</w:t>
      </w:r>
      <w:r>
        <w:t xml:space="preserve"> 581</w:t>
      </w:r>
      <w:r w:rsidRPr="00531E77">
        <w:t xml:space="preserve"> млн. руб.,</w:t>
      </w:r>
    </w:p>
    <w:p w:rsidR="00637736" w:rsidRPr="00531E77" w:rsidRDefault="00637736" w:rsidP="006F6031">
      <w:pPr>
        <w:pStyle w:val="ConsPlusNormal"/>
        <w:ind w:firstLine="709"/>
        <w:contextualSpacing/>
        <w:jc w:val="both"/>
      </w:pPr>
      <w:r>
        <w:t>в 2018</w:t>
      </w:r>
      <w:r w:rsidR="003D3383">
        <w:t xml:space="preserve">, </w:t>
      </w:r>
      <w:r>
        <w:t>2019 годах</w:t>
      </w:r>
      <w:r w:rsidRPr="00531E77">
        <w:t xml:space="preserve"> – </w:t>
      </w:r>
      <w:r>
        <w:t>581,6 млн. руб. ежегодно.</w:t>
      </w:r>
    </w:p>
    <w:sectPr w:rsidR="00637736" w:rsidRPr="00531E77" w:rsidSect="000936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D9" w:rsidRDefault="00AB05D9" w:rsidP="00FA0B10">
      <w:pPr>
        <w:spacing w:after="0" w:line="240" w:lineRule="auto"/>
      </w:pPr>
      <w:r>
        <w:separator/>
      </w:r>
    </w:p>
  </w:endnote>
  <w:endnote w:type="continuationSeparator" w:id="0">
    <w:p w:rsidR="00AB05D9" w:rsidRDefault="00AB05D9" w:rsidP="00FA0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D9" w:rsidRDefault="00AB05D9" w:rsidP="00FA0B10">
      <w:pPr>
        <w:spacing w:after="0" w:line="240" w:lineRule="auto"/>
      </w:pPr>
      <w:r>
        <w:separator/>
      </w:r>
    </w:p>
  </w:footnote>
  <w:footnote w:type="continuationSeparator" w:id="0">
    <w:p w:rsidR="00AB05D9" w:rsidRDefault="00AB05D9" w:rsidP="00FA0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397861"/>
      <w:docPartObj>
        <w:docPartGallery w:val="Page Numbers (Top of Page)"/>
        <w:docPartUnique/>
      </w:docPartObj>
    </w:sdtPr>
    <w:sdtEndPr/>
    <w:sdtContent>
      <w:p w:rsidR="0009364A" w:rsidRDefault="0009364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ACF">
          <w:rPr>
            <w:noProof/>
          </w:rPr>
          <w:t>11</w:t>
        </w:r>
        <w:r>
          <w:fldChar w:fldCharType="end"/>
        </w:r>
      </w:p>
    </w:sdtContent>
  </w:sdt>
  <w:p w:rsidR="0009364A" w:rsidRDefault="0009364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A0"/>
    <w:rsid w:val="000022C5"/>
    <w:rsid w:val="00003EC4"/>
    <w:rsid w:val="000407D1"/>
    <w:rsid w:val="000418CC"/>
    <w:rsid w:val="00063AEF"/>
    <w:rsid w:val="00075111"/>
    <w:rsid w:val="00075F1B"/>
    <w:rsid w:val="0009364A"/>
    <w:rsid w:val="00095CEA"/>
    <w:rsid w:val="00097157"/>
    <w:rsid w:val="000A0863"/>
    <w:rsid w:val="000B59F3"/>
    <w:rsid w:val="000C2EA7"/>
    <w:rsid w:val="000C7805"/>
    <w:rsid w:val="000D1EAA"/>
    <w:rsid w:val="0012331C"/>
    <w:rsid w:val="001333C2"/>
    <w:rsid w:val="00136B4B"/>
    <w:rsid w:val="00161F0C"/>
    <w:rsid w:val="0016559F"/>
    <w:rsid w:val="00174102"/>
    <w:rsid w:val="001B73CA"/>
    <w:rsid w:val="001C2BCD"/>
    <w:rsid w:val="001C7F07"/>
    <w:rsid w:val="001D03F0"/>
    <w:rsid w:val="001D47B6"/>
    <w:rsid w:val="001F281E"/>
    <w:rsid w:val="00203F86"/>
    <w:rsid w:val="00204E1F"/>
    <w:rsid w:val="0021554C"/>
    <w:rsid w:val="00221714"/>
    <w:rsid w:val="00234F4C"/>
    <w:rsid w:val="00246AC4"/>
    <w:rsid w:val="002520FD"/>
    <w:rsid w:val="00257AFC"/>
    <w:rsid w:val="00296629"/>
    <w:rsid w:val="002D1C04"/>
    <w:rsid w:val="003010C8"/>
    <w:rsid w:val="00321296"/>
    <w:rsid w:val="00340F40"/>
    <w:rsid w:val="00355B5A"/>
    <w:rsid w:val="00381252"/>
    <w:rsid w:val="003A6742"/>
    <w:rsid w:val="003D3383"/>
    <w:rsid w:val="003D5499"/>
    <w:rsid w:val="003D779D"/>
    <w:rsid w:val="003E7EBC"/>
    <w:rsid w:val="003F546E"/>
    <w:rsid w:val="004318E3"/>
    <w:rsid w:val="00453EAF"/>
    <w:rsid w:val="00454A2B"/>
    <w:rsid w:val="004737C0"/>
    <w:rsid w:val="004771A8"/>
    <w:rsid w:val="00483FE0"/>
    <w:rsid w:val="004D60A0"/>
    <w:rsid w:val="004E5629"/>
    <w:rsid w:val="004F3B5A"/>
    <w:rsid w:val="00523736"/>
    <w:rsid w:val="00527E71"/>
    <w:rsid w:val="00557174"/>
    <w:rsid w:val="005863AE"/>
    <w:rsid w:val="005B0C2F"/>
    <w:rsid w:val="005D0C29"/>
    <w:rsid w:val="005E65ED"/>
    <w:rsid w:val="00613328"/>
    <w:rsid w:val="0061344E"/>
    <w:rsid w:val="0061655C"/>
    <w:rsid w:val="00623DAE"/>
    <w:rsid w:val="00625DB1"/>
    <w:rsid w:val="006305E0"/>
    <w:rsid w:val="00637736"/>
    <w:rsid w:val="006402B6"/>
    <w:rsid w:val="00643806"/>
    <w:rsid w:val="00643FF9"/>
    <w:rsid w:val="0064760E"/>
    <w:rsid w:val="0065579B"/>
    <w:rsid w:val="00657A33"/>
    <w:rsid w:val="006646D0"/>
    <w:rsid w:val="00680345"/>
    <w:rsid w:val="00680C1E"/>
    <w:rsid w:val="00682929"/>
    <w:rsid w:val="006878A6"/>
    <w:rsid w:val="006A10C6"/>
    <w:rsid w:val="006D648E"/>
    <w:rsid w:val="006F6031"/>
    <w:rsid w:val="00726FF8"/>
    <w:rsid w:val="00761FE7"/>
    <w:rsid w:val="00781783"/>
    <w:rsid w:val="007957B1"/>
    <w:rsid w:val="00797A5D"/>
    <w:rsid w:val="007C6008"/>
    <w:rsid w:val="007C64FF"/>
    <w:rsid w:val="007F56FE"/>
    <w:rsid w:val="0085193B"/>
    <w:rsid w:val="008807C9"/>
    <w:rsid w:val="00881699"/>
    <w:rsid w:val="008970F4"/>
    <w:rsid w:val="008B5F49"/>
    <w:rsid w:val="008B668F"/>
    <w:rsid w:val="008C7466"/>
    <w:rsid w:val="008D5BCF"/>
    <w:rsid w:val="008E4C33"/>
    <w:rsid w:val="009061AA"/>
    <w:rsid w:val="00910139"/>
    <w:rsid w:val="00922079"/>
    <w:rsid w:val="00962065"/>
    <w:rsid w:val="00966790"/>
    <w:rsid w:val="00966B40"/>
    <w:rsid w:val="009839B8"/>
    <w:rsid w:val="00994F86"/>
    <w:rsid w:val="009A2490"/>
    <w:rsid w:val="009A559C"/>
    <w:rsid w:val="009A73A1"/>
    <w:rsid w:val="009C2FF3"/>
    <w:rsid w:val="009E113A"/>
    <w:rsid w:val="009E16F9"/>
    <w:rsid w:val="009E2B37"/>
    <w:rsid w:val="009F3D42"/>
    <w:rsid w:val="00A06EA5"/>
    <w:rsid w:val="00A25113"/>
    <w:rsid w:val="00A30864"/>
    <w:rsid w:val="00A3562D"/>
    <w:rsid w:val="00A40D88"/>
    <w:rsid w:val="00A523A2"/>
    <w:rsid w:val="00A80E89"/>
    <w:rsid w:val="00AA20F8"/>
    <w:rsid w:val="00AB05D9"/>
    <w:rsid w:val="00AC4166"/>
    <w:rsid w:val="00AC7144"/>
    <w:rsid w:val="00AC7796"/>
    <w:rsid w:val="00B25A2E"/>
    <w:rsid w:val="00B25ED8"/>
    <w:rsid w:val="00B35423"/>
    <w:rsid w:val="00B517FF"/>
    <w:rsid w:val="00B52ACF"/>
    <w:rsid w:val="00B54714"/>
    <w:rsid w:val="00B754C7"/>
    <w:rsid w:val="00B90C25"/>
    <w:rsid w:val="00BA7E68"/>
    <w:rsid w:val="00BB2D50"/>
    <w:rsid w:val="00BB68AC"/>
    <w:rsid w:val="00BC0CAB"/>
    <w:rsid w:val="00BC3543"/>
    <w:rsid w:val="00BD4389"/>
    <w:rsid w:val="00BE1E04"/>
    <w:rsid w:val="00BF3DED"/>
    <w:rsid w:val="00C05BD6"/>
    <w:rsid w:val="00C272DC"/>
    <w:rsid w:val="00C543EF"/>
    <w:rsid w:val="00CB480E"/>
    <w:rsid w:val="00CC4A7E"/>
    <w:rsid w:val="00CE7A3E"/>
    <w:rsid w:val="00D2738B"/>
    <w:rsid w:val="00D718D6"/>
    <w:rsid w:val="00D84C8B"/>
    <w:rsid w:val="00DB3618"/>
    <w:rsid w:val="00DB3853"/>
    <w:rsid w:val="00E06649"/>
    <w:rsid w:val="00E13B47"/>
    <w:rsid w:val="00E3231C"/>
    <w:rsid w:val="00E37942"/>
    <w:rsid w:val="00E651C2"/>
    <w:rsid w:val="00E900B0"/>
    <w:rsid w:val="00EF5659"/>
    <w:rsid w:val="00F04C1C"/>
    <w:rsid w:val="00F32209"/>
    <w:rsid w:val="00F77846"/>
    <w:rsid w:val="00F80543"/>
    <w:rsid w:val="00FA0B10"/>
    <w:rsid w:val="00FB5631"/>
    <w:rsid w:val="00FB63C4"/>
    <w:rsid w:val="00FB6BC5"/>
    <w:rsid w:val="00FD3DD0"/>
    <w:rsid w:val="00FD4FE6"/>
    <w:rsid w:val="00FE4A05"/>
    <w:rsid w:val="00FF4654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3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203F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FA0B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FA0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unhideWhenUsed/>
    <w:rsid w:val="00FA0B10"/>
    <w:rPr>
      <w:vertAlign w:val="superscript"/>
    </w:rPr>
  </w:style>
  <w:style w:type="paragraph" w:styleId="a7">
    <w:name w:val="No Spacing"/>
    <w:basedOn w:val="a"/>
    <w:uiPriority w:val="1"/>
    <w:qFormat/>
    <w:rsid w:val="00FA0B10"/>
    <w:pPr>
      <w:spacing w:after="0" w:line="240" w:lineRule="auto"/>
    </w:pPr>
    <w:rPr>
      <w:rFonts w:ascii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093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9364A"/>
  </w:style>
  <w:style w:type="paragraph" w:styleId="aa">
    <w:name w:val="footer"/>
    <w:basedOn w:val="a"/>
    <w:link w:val="ab"/>
    <w:uiPriority w:val="99"/>
    <w:unhideWhenUsed/>
    <w:rsid w:val="00093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93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3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203F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FA0B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FA0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unhideWhenUsed/>
    <w:rsid w:val="00FA0B10"/>
    <w:rPr>
      <w:vertAlign w:val="superscript"/>
    </w:rPr>
  </w:style>
  <w:style w:type="paragraph" w:styleId="a7">
    <w:name w:val="No Spacing"/>
    <w:basedOn w:val="a"/>
    <w:uiPriority w:val="1"/>
    <w:qFormat/>
    <w:rsid w:val="00FA0B10"/>
    <w:pPr>
      <w:spacing w:after="0" w:line="240" w:lineRule="auto"/>
    </w:pPr>
    <w:rPr>
      <w:rFonts w:ascii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093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9364A"/>
  </w:style>
  <w:style w:type="paragraph" w:styleId="aa">
    <w:name w:val="footer"/>
    <w:basedOn w:val="a"/>
    <w:link w:val="ab"/>
    <w:uiPriority w:val="99"/>
    <w:unhideWhenUsed/>
    <w:rsid w:val="00093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9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894B6-4636-4F77-A4C0-9D8C7198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3877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Доценко Лариса Владимировна</dc:creator>
  <cp:lastModifiedBy>Леонова Анна Владимировна</cp:lastModifiedBy>
  <cp:revision>2</cp:revision>
  <dcterms:created xsi:type="dcterms:W3CDTF">2016-10-27T17:26:00Z</dcterms:created>
  <dcterms:modified xsi:type="dcterms:W3CDTF">2016-10-27T17:26:00Z</dcterms:modified>
</cp:coreProperties>
</file>