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F5C" w:rsidRDefault="00E94F5C" w:rsidP="00E94F5C">
      <w:pPr>
        <w:widowControl w:val="0"/>
        <w:autoSpaceDE w:val="0"/>
        <w:autoSpaceDN w:val="0"/>
        <w:adjustRightInd w:val="0"/>
        <w:spacing w:after="0" w:line="240" w:lineRule="auto"/>
        <w:ind w:left="5529"/>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w:t>
      </w:r>
    </w:p>
    <w:p w:rsidR="00091865" w:rsidRDefault="00E94F5C" w:rsidP="00E94F5C">
      <w:pPr>
        <w:widowControl w:val="0"/>
        <w:autoSpaceDE w:val="0"/>
        <w:autoSpaceDN w:val="0"/>
        <w:adjustRightInd w:val="0"/>
        <w:spacing w:after="0" w:line="240" w:lineRule="auto"/>
        <w:ind w:left="5529"/>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постановлением </w:t>
      </w:r>
    </w:p>
    <w:p w:rsidR="00E94F5C" w:rsidRDefault="00E94F5C" w:rsidP="00E94F5C">
      <w:pPr>
        <w:widowControl w:val="0"/>
        <w:autoSpaceDE w:val="0"/>
        <w:autoSpaceDN w:val="0"/>
        <w:adjustRightInd w:val="0"/>
        <w:spacing w:after="0" w:line="240" w:lineRule="auto"/>
        <w:ind w:left="5529"/>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Правительства </w:t>
      </w:r>
      <w:bookmarkStart w:id="0" w:name="_GoBack"/>
      <w:bookmarkEnd w:id="0"/>
      <w:r>
        <w:rPr>
          <w:rFonts w:ascii="Times New Roman" w:eastAsia="Times New Roman" w:hAnsi="Times New Roman" w:cs="Times New Roman"/>
          <w:sz w:val="28"/>
          <w:szCs w:val="28"/>
          <w:lang w:eastAsia="ru-RU"/>
        </w:rPr>
        <w:t xml:space="preserve">Ярославской области </w:t>
      </w:r>
    </w:p>
    <w:p w:rsidR="00E94F5C" w:rsidRPr="00284C7D" w:rsidRDefault="00E94F5C" w:rsidP="00E94F5C">
      <w:pPr>
        <w:widowControl w:val="0"/>
        <w:autoSpaceDE w:val="0"/>
        <w:autoSpaceDN w:val="0"/>
        <w:adjustRightInd w:val="0"/>
        <w:spacing w:after="0" w:line="240" w:lineRule="auto"/>
        <w:ind w:left="5529"/>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13.03.2024 № 279-п</w:t>
      </w:r>
    </w:p>
    <w:p w:rsidR="00DB3781" w:rsidRPr="00DB3781" w:rsidRDefault="00DB3781" w:rsidP="00DB3781">
      <w:pPr>
        <w:spacing w:after="0" w:line="240" w:lineRule="auto"/>
        <w:ind w:firstLine="851"/>
        <w:jc w:val="center"/>
        <w:rPr>
          <w:rFonts w:ascii="Times New Roman" w:eastAsia="Times New Roman" w:hAnsi="Times New Roman" w:cs="Times New Roman"/>
          <w:b/>
          <w:bCs/>
          <w:sz w:val="28"/>
          <w:szCs w:val="28"/>
          <w:lang w:eastAsia="ru-RU"/>
        </w:rPr>
      </w:pPr>
    </w:p>
    <w:p w:rsidR="00DB3781" w:rsidRPr="00DB3781" w:rsidRDefault="00DB3781" w:rsidP="00DB3781">
      <w:pPr>
        <w:spacing w:after="0" w:line="240" w:lineRule="auto"/>
        <w:ind w:firstLine="851"/>
        <w:jc w:val="center"/>
        <w:rPr>
          <w:rFonts w:ascii="Times New Roman" w:eastAsia="Times New Roman" w:hAnsi="Times New Roman" w:cs="Times New Roman"/>
          <w:b/>
          <w:bCs/>
          <w:sz w:val="28"/>
          <w:szCs w:val="28"/>
          <w:lang w:eastAsia="ru-RU"/>
        </w:rPr>
      </w:pPr>
    </w:p>
    <w:p w:rsidR="00DB3781" w:rsidRPr="00DB3781" w:rsidRDefault="00DB3781" w:rsidP="00DB3781">
      <w:pPr>
        <w:spacing w:after="0" w:line="240" w:lineRule="auto"/>
        <w:ind w:firstLine="851"/>
        <w:jc w:val="center"/>
        <w:rPr>
          <w:rFonts w:ascii="Times New Roman" w:eastAsia="Times New Roman" w:hAnsi="Times New Roman" w:cs="Times New Roman"/>
          <w:b/>
          <w:bCs/>
          <w:sz w:val="28"/>
          <w:szCs w:val="28"/>
          <w:lang w:eastAsia="ru-RU"/>
        </w:rPr>
      </w:pPr>
      <w:r w:rsidRPr="00DB3781">
        <w:rPr>
          <w:rFonts w:ascii="Times New Roman" w:eastAsia="Times New Roman" w:hAnsi="Times New Roman" w:cs="Times New Roman"/>
          <w:b/>
          <w:bCs/>
          <w:sz w:val="28"/>
          <w:szCs w:val="28"/>
          <w:lang w:eastAsia="ru-RU"/>
        </w:rPr>
        <w:t>ПОРЯДОК</w:t>
      </w:r>
    </w:p>
    <w:p w:rsidR="00DB3781" w:rsidRPr="00DB3781" w:rsidRDefault="00DB3781" w:rsidP="00DB3781">
      <w:pPr>
        <w:spacing w:after="0" w:line="240" w:lineRule="auto"/>
        <w:ind w:firstLine="851"/>
        <w:jc w:val="center"/>
        <w:rPr>
          <w:rFonts w:ascii="Times New Roman" w:eastAsia="Times New Roman" w:hAnsi="Times New Roman" w:cs="Times New Roman"/>
          <w:b/>
          <w:bCs/>
          <w:sz w:val="28"/>
          <w:szCs w:val="28"/>
          <w:lang w:eastAsia="ru-RU"/>
        </w:rPr>
      </w:pPr>
      <w:r w:rsidRPr="00DB3781">
        <w:rPr>
          <w:rFonts w:ascii="Times New Roman" w:eastAsia="Times New Roman" w:hAnsi="Times New Roman" w:cs="Times New Roman"/>
          <w:b/>
          <w:bCs/>
          <w:sz w:val="28"/>
          <w:szCs w:val="28"/>
          <w:lang w:eastAsia="ru-RU"/>
        </w:rPr>
        <w:t xml:space="preserve">ПРЕДОСТАВЛЕНИЯ ИЗ ОБЛАСТНОГО БЮДЖЕТА МЕСТНЫМ БЮДЖЕТАМ ЯРОСЛАВСКОЙ ОБЛАСТИ И РАСПРЕДЕЛЕНИЯ СУБСИДИЙ НА РЕАЛИЗАЦИЮ МЕРОПРИЯТИЙ ПО ОБЕСПЕЧЕНИЮ БЕЗОПАСНОСТИ ГРАЖДАН НА ВОДНЫХ ОБЪЕКТАХ </w:t>
      </w:r>
    </w:p>
    <w:p w:rsidR="00DB3781" w:rsidRPr="00DB3781" w:rsidRDefault="00DB3781" w:rsidP="00DB3781">
      <w:pPr>
        <w:spacing w:after="0" w:line="240" w:lineRule="auto"/>
        <w:ind w:firstLine="851"/>
        <w:jc w:val="center"/>
        <w:rPr>
          <w:rFonts w:ascii="Times New Roman" w:eastAsia="Times New Roman" w:hAnsi="Times New Roman" w:cs="Times New Roman"/>
          <w:b/>
          <w:bCs/>
          <w:sz w:val="28"/>
          <w:szCs w:val="28"/>
          <w:lang w:eastAsia="ru-RU"/>
        </w:rPr>
      </w:pP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1. Порядок предоставления из областного бюджета местным бюджетам Ярославской области и распределения субсидий на реализацию мероприятий по обеспечению безопасности граждан на водных объектах (далее - Порядок) устанавливает порядок предоставления из областного бюджета и распределения субсидий на реализацию мероприятий по обеспечению безопасности граждан на водных объектах (далее - субсидии) в рамках комплекса процессных мероприятий "Обеспечение безопасности граждан на водных объектах", входящего в состав государственной программы Ярославской области "Защита населения и территории Ярославской области от чрезвычайных ситуаций, обеспечение пожарной безопасности и безопасности людей на водных объектах" на 2024 - 2030 годы (далее - Государственная программа).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2. Цель предоставления субсидии - оказание финансовой поддержки исполнения расходных обязательств, возникающих при выполнении органами местного самоуправления муниципальных образований Ярославской области (далее - органы местного самоуправления) полномочий по осуществлению мероприятий по обеспечению безопасности людей на водных объектах, охране их жизни и здоровья, определенных пунктом 26 статьи 14, пунктом 24 статьи 15 и (или) пунктом 32 статьи 16 Федерального закона от 6 октября 2003 года N 131-ФЗ "Об общих принципах организации местного самоуправления в Российской Федерации".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3. Субсидия предоставляется на приобретение специального имущества для оборудования вновь создаваемых общественных спасательных постов в местах массового отдыха населения у водных объектов.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В состав специального имущества, приобретаемого для оборудования общественного спасательного поста, могут входить: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разборная палатка (шатер) с надписью "Спасательный пост" - 1 шт.;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лодка с надписями на борту "Спасательная" - 1 шт.;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мотор лодочный - 1 шт.;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весла для лодки - 1 - 2 комплекта;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костюм спасательный сухого типа - 1 - 2 комплекта;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источник автономного электроснабжения (генератор) - 1 шт.;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круг спасательный - 1 - 3 шт.;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спасательные жилеты или нагрудники - 3 шт.;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lastRenderedPageBreak/>
        <w:t xml:space="preserve">- кольцо спасательное с линем "конец Александрова" - 2 шт.;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электромегафон (громкоговоритель) - 1 шт.;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комплект сигнальный для пляжа - 1 шт.;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санитарная сумка (аптечка) с набором медикаментов для оказания первой помощи при несчастном случае с людьми - 1 шт.;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стенд (щит) с материалами о приемах оказания первой помощи людям, мерах профилактики несчастных случаев с людьми на воде и другой информацией, предусмотренной подпунктом 3.1.5 пункта 3.1 раздела III Правил пользования пляжами в Российской Федерации, утвержденных приказом Министерства Российской Федерации по делам гражданской обороны, чрезвычайным ситуациям и ликвидации последствий стихийных бедствий от 30.09.2020 N 732 "Об утверждении Правил пользования пляжами в Российской Федерации", - 1 шт.;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бинокль - 1 шт.;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ласты, маска, трубка - 2 комплекта;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буйковые ограждения - 1 комплект;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флаг сигнальный желтый - 1 шт.;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флаг сигнальный красный (черный) - 1 шт.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Приобретаемые для оборудования общественного спасательного поста спасательные средства должны быть промышленного изготовления и сертифицированы.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4. Оказание финансовой поддержки исполнения расходных обязательств, указанных в пункте 2 Порядка, осуществляется путем софинансирования расходных обязательств органов местного самоуправления из расчета 50 процентов от общего объема расходных обязательств в пределах бюджетных ассигнований, предусмотренных в областном бюджете на очередной финансовый год и плановый период.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5. Предоставление субсидии предусматривается в соответствии с перечнем субсидий бюджетам муниципальных образований, предоставляемых из областного бюджета 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 утверждаемым законом Ярославской области об областном бюджете на очередной финансовый год и на плановый период.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6. Предоставление субсидии вне Государственной программы не допускается.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7. Условиями предоставления и расходования субсидии являются: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наличие в бюджете муниципального образования Ярославской области (далее - муниципальное образование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w:t>
      </w:r>
      <w:r w:rsidRPr="00DB3781">
        <w:rPr>
          <w:rFonts w:ascii="Times New Roman" w:eastAsia="Times New Roman" w:hAnsi="Times New Roman" w:cs="Times New Roman"/>
          <w:sz w:val="28"/>
          <w:szCs w:val="28"/>
          <w:lang w:eastAsia="ru-RU"/>
        </w:rPr>
        <w:lastRenderedPageBreak/>
        <w:t xml:space="preserve">которых предоставляется субсидия, в объеме, необходимом для исполнения указанных расходных обязательств, включая размер субсидии, предоставление которой планируется из областного бюджета;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заключение соглашения о предоставлении субсидии бюджету муниципального образования области (далее - соглашение)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в соответствии с типовой формой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8. Критериями отбора муниципальных образований области для предоставления субсидии являются: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наличие мест массового отдыха людей у воды (пляжей), не оборудованных спасательными постами;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подтверждение готовности муниципального образования области к получению субсидии для оборудования вновь создаваемого общественного спасательного поста на месте массового отдыха людей у воды (пляже) в соответствии с Порядком;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наличие высокой эффективности использования субсидии муниципальным образованием области в соответствии с пунктом 18 Порядка при условии предоставления муниципальному образованию области субсидии в рамках подпрограммы "Обеспечение безопасности граждан на водных объектах" государственной программы Ярославской области "Защита населения и территории Ярославской области от чрезвычайных ситуаций, обеспечение пожарной безопасности и безопасности людей на водных объектах" на 2021 - 2025 годы, утвержденной постановлением Правительства Ярославской области от 30.03.2021 N 152-п "Об утверждении государственной программы Ярославской области "Защита населения и территории Ярославской области от чрезвычайных ситуаций, обеспечение пожарной безопасности и безопасности людей на водных объектах" на 2021 - 2025 годы и признании утратившими силу отдельных постановлений Правительства области", в предыдущие годы ее реализации.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lastRenderedPageBreak/>
        <w:t xml:space="preserve">9. Отбор муниципальных образований области для предоставления субсидии осуществляется министерством региональной безопасности Ярославской области (далее - МРБ ЯО) без проведения конкурса на основании заявок муниципальных образований области в соответствии с критериями, указанными в пункте 8 Порядка.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10. Распределение субсидий осуществляется исходя из принципа равных долей между муниципальными образованиями области, заявки которых были отобраны в соответствии с пунктом 9 Порядка, в пределах бюджетных ассигнований, предусмотренных в областном бюджете в рамках Государственной программы.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11. Для заключения соглашений муниципальные образования области представляют в МРБ ЯО следующие документы: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копия утвержденной муниципальной программы, на софинансирование мероприятий которой предоставляются субсидии;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соответствующей муниципальной программы.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12. Соглашение заключается в срок не позднее 15 февраля года предоставления субсидии.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В случае если бюджетные ассигнования на предоставление субсидии предусмотрены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дней после дня вступления в силу указанного закона.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13. Перечень документов, необходимых для перечисления субсидии, устанавливается соглашением.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14. Расходование субсидии осуществляется в следующем порядке: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14.1. МРБ ЯО осуществляет перечисление субсидий местным бюджетам в пределах кассового плана областного бюджета, утверждаемого на соответствующий квартал, формируемого с учетом сроков перечисления субсидий, предусмотренных соответствующими соглашениями.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14.2. Перечисление субсидий осуществляется в установленном порядке на казначейский счет для осуществления и отражения операций по учету и распределению поступлений для последующего перечисления в местные бюджеты.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14.3. Расходные обязательства муниципального образования области устанавливаются органом местного самоуправления самостоятельно и исполняются за счет собственных доходов и источников покрытия дефицита местного бюджета.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15. Образовавшуюся по итогам проведения конкурентных процедур экономию средств областного бюджета, выделенных в рамках субсидии из областного бюджета, и средств местных бюджетов, выделенных в рамках </w:t>
      </w:r>
      <w:r w:rsidRPr="00DB3781">
        <w:rPr>
          <w:rFonts w:ascii="Times New Roman" w:eastAsia="Times New Roman" w:hAnsi="Times New Roman" w:cs="Times New Roman"/>
          <w:sz w:val="28"/>
          <w:szCs w:val="28"/>
          <w:lang w:eastAsia="ru-RU"/>
        </w:rPr>
        <w:lastRenderedPageBreak/>
        <w:t xml:space="preserve">софинансирования полномочий органов местного самоуправления, рекомендуется использовать на выполнение аналогичных работ в соответствии с целевым назначением субсидии.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16. Сроки представления муниципальными образованиями области отчетности о выполнении условий предоставления субсидии, а также о результативности и эффективности использования субсидии устанавливаются соглашением.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Формы отчетности устанавливаются типовой формой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17. На основании отчетности, указанной в пункте 17 Порядка, МРБ ЯО осуществляет оценку целевого расходования субсидии, а также результативности и эффективности использования субсидии.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Показателем результата использования субсидии является количество новых мест массового отдыха людей у воды (пляжей), оборудованных общественными спасательными постами в срок до 01 августа года предоставления субсидии и функционирующих в течение купального сезона. </w:t>
      </w:r>
    </w:p>
    <w:p w:rsidR="00DB3781" w:rsidRPr="00DB3781" w:rsidRDefault="00DB3781" w:rsidP="00DB3781">
      <w:pPr>
        <w:spacing w:after="0" w:line="240" w:lineRule="auto"/>
        <w:ind w:firstLine="851"/>
        <w:jc w:val="both"/>
        <w:rPr>
          <w:rFonts w:ascii="Times New Roman" w:eastAsia="Times New Roman" w:hAnsi="Times New Roman" w:cs="Times New Roman"/>
          <w:sz w:val="28"/>
          <w:szCs w:val="28"/>
          <w:lang w:eastAsia="ru-RU"/>
        </w:rPr>
      </w:pPr>
      <w:r w:rsidRPr="00DB3781">
        <w:rPr>
          <w:rFonts w:ascii="Times New Roman" w:eastAsia="Times New Roman" w:hAnsi="Times New Roman" w:cs="Times New Roman"/>
          <w:sz w:val="28"/>
          <w:szCs w:val="28"/>
          <w:lang w:eastAsia="ru-RU"/>
        </w:rPr>
        <w:t xml:space="preserve">Плановые значения показателя результата использования субсидии муниципальным образованием области для каждого муниципального образования области устанавливаются соглашением. </w:t>
      </w:r>
    </w:p>
    <w:p w:rsidR="00DB3781" w:rsidRPr="00DB3781" w:rsidRDefault="00DB3781" w:rsidP="00DB3781">
      <w:pPr>
        <w:pStyle w:val="ConsPlusNormal"/>
        <w:ind w:firstLine="851"/>
        <w:jc w:val="both"/>
        <w:rPr>
          <w:sz w:val="28"/>
          <w:szCs w:val="28"/>
        </w:rPr>
      </w:pPr>
      <w:r w:rsidRPr="00DB3781">
        <w:rPr>
          <w:sz w:val="28"/>
          <w:szCs w:val="28"/>
        </w:rPr>
        <w:t>18. Расчет результативности использования субсидии муниципальным образованием области (Р</w:t>
      </w:r>
      <w:r w:rsidRPr="00DB3781">
        <w:rPr>
          <w:sz w:val="28"/>
          <w:szCs w:val="28"/>
          <w:vertAlign w:val="subscript"/>
        </w:rPr>
        <w:t>i</w:t>
      </w:r>
      <w:r w:rsidRPr="00DB3781">
        <w:rPr>
          <w:sz w:val="28"/>
          <w:szCs w:val="28"/>
        </w:rPr>
        <w:t>) производится по формуле:</w:t>
      </w:r>
    </w:p>
    <w:p w:rsidR="00DB3781" w:rsidRPr="00DB3781" w:rsidRDefault="00DB3781" w:rsidP="00DB3781">
      <w:pPr>
        <w:pStyle w:val="ConsPlusNormal"/>
        <w:ind w:firstLine="851"/>
        <w:jc w:val="both"/>
        <w:rPr>
          <w:sz w:val="28"/>
          <w:szCs w:val="28"/>
        </w:rPr>
      </w:pPr>
    </w:p>
    <w:p w:rsidR="00DB3781" w:rsidRPr="00DB3781" w:rsidRDefault="00DB3781" w:rsidP="00DB3781">
      <w:pPr>
        <w:pStyle w:val="ConsPlusNormal"/>
        <w:ind w:firstLine="851"/>
        <w:jc w:val="center"/>
        <w:rPr>
          <w:sz w:val="28"/>
          <w:szCs w:val="28"/>
        </w:rPr>
      </w:pPr>
      <w:r w:rsidRPr="00DB3781">
        <w:rPr>
          <w:noProof/>
          <w:position w:val="-31"/>
          <w:sz w:val="28"/>
          <w:szCs w:val="28"/>
        </w:rPr>
        <w:drawing>
          <wp:inline distT="0" distB="0" distL="0" distR="0" wp14:anchorId="09001FE9" wp14:editId="64D4DBA6">
            <wp:extent cx="718185" cy="548640"/>
            <wp:effectExtent l="0" t="0" r="5715"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18185" cy="548640"/>
                    </a:xfrm>
                    <a:prstGeom prst="rect">
                      <a:avLst/>
                    </a:prstGeom>
                    <a:noFill/>
                    <a:ln>
                      <a:noFill/>
                    </a:ln>
                  </pic:spPr>
                </pic:pic>
              </a:graphicData>
            </a:graphic>
          </wp:inline>
        </w:drawing>
      </w:r>
    </w:p>
    <w:p w:rsidR="00DB3781" w:rsidRPr="00DB3781" w:rsidRDefault="00DB3781" w:rsidP="00DB3781">
      <w:pPr>
        <w:pStyle w:val="ConsPlusNormal"/>
        <w:ind w:firstLine="851"/>
        <w:jc w:val="both"/>
        <w:rPr>
          <w:sz w:val="28"/>
          <w:szCs w:val="28"/>
        </w:rPr>
      </w:pPr>
    </w:p>
    <w:p w:rsidR="00DB3781" w:rsidRPr="00DB3781" w:rsidRDefault="00DB3781" w:rsidP="00DB3781">
      <w:pPr>
        <w:pStyle w:val="ConsPlusNormal"/>
        <w:ind w:firstLine="851"/>
        <w:rPr>
          <w:sz w:val="28"/>
          <w:szCs w:val="28"/>
        </w:rPr>
      </w:pPr>
      <w:r w:rsidRPr="00DB3781">
        <w:rPr>
          <w:sz w:val="28"/>
          <w:szCs w:val="28"/>
        </w:rPr>
        <w:t>где:</w:t>
      </w:r>
    </w:p>
    <w:p w:rsidR="00DB3781" w:rsidRPr="00DB3781" w:rsidRDefault="00DB3781" w:rsidP="00DB3781">
      <w:pPr>
        <w:pStyle w:val="ConsPlusNormal"/>
        <w:ind w:firstLine="851"/>
        <w:jc w:val="both"/>
        <w:rPr>
          <w:sz w:val="28"/>
          <w:szCs w:val="28"/>
        </w:rPr>
      </w:pPr>
      <w:r w:rsidRPr="00DB3781">
        <w:rPr>
          <w:sz w:val="28"/>
          <w:szCs w:val="28"/>
        </w:rPr>
        <w:t>П</w:t>
      </w:r>
      <w:r w:rsidRPr="00DB3781">
        <w:rPr>
          <w:sz w:val="28"/>
          <w:szCs w:val="28"/>
          <w:vertAlign w:val="subscript"/>
        </w:rPr>
        <w:t>ф</w:t>
      </w:r>
      <w:r w:rsidRPr="00DB3781">
        <w:rPr>
          <w:sz w:val="28"/>
          <w:szCs w:val="28"/>
        </w:rPr>
        <w:t xml:space="preserve"> - фактическое количество новых мест массового отдыха людей у воды (пляжей), оборудованных общественными спасательными постами в срок до 01 августа года предоставления субсидии и функционирующих в течение купального сезона;</w:t>
      </w:r>
    </w:p>
    <w:p w:rsidR="00DB3781" w:rsidRPr="00DB3781" w:rsidRDefault="00DB3781" w:rsidP="00DB3781">
      <w:pPr>
        <w:pStyle w:val="ConsPlusNormal"/>
        <w:ind w:firstLine="851"/>
        <w:jc w:val="both"/>
        <w:rPr>
          <w:sz w:val="28"/>
          <w:szCs w:val="28"/>
        </w:rPr>
      </w:pPr>
      <w:r w:rsidRPr="00DB3781">
        <w:rPr>
          <w:sz w:val="28"/>
          <w:szCs w:val="28"/>
        </w:rPr>
        <w:t>П</w:t>
      </w:r>
      <w:r w:rsidRPr="00DB3781">
        <w:rPr>
          <w:sz w:val="28"/>
          <w:szCs w:val="28"/>
          <w:vertAlign w:val="subscript"/>
        </w:rPr>
        <w:t>п</w:t>
      </w:r>
      <w:r w:rsidRPr="00DB3781">
        <w:rPr>
          <w:sz w:val="28"/>
          <w:szCs w:val="28"/>
        </w:rPr>
        <w:t xml:space="preserve"> - плановое количество новых мест массового отдыха людей у воды (пляжей), оборудованных общественными спасательными постами в срок до 01 августа года предоставления субсидии и функционирующих в течение купального сезона.</w:t>
      </w:r>
    </w:p>
    <w:p w:rsidR="00DB3781" w:rsidRPr="00DB3781" w:rsidRDefault="00DB3781" w:rsidP="00DB3781">
      <w:pPr>
        <w:pStyle w:val="ConsPlusNormal"/>
        <w:ind w:firstLine="851"/>
        <w:jc w:val="both"/>
        <w:rPr>
          <w:sz w:val="28"/>
          <w:szCs w:val="28"/>
        </w:rPr>
      </w:pPr>
      <w:r w:rsidRPr="00DB3781">
        <w:rPr>
          <w:sz w:val="28"/>
          <w:szCs w:val="28"/>
        </w:rPr>
        <w:t>При значении показателя более 0,8 результативность использования субсидии муниципальным образованием области признается высокой, при значении показателя от 0,5 до 0,8 - средней, при значении показателя менее 0,5 - низкой.</w:t>
      </w:r>
    </w:p>
    <w:p w:rsidR="00DB3781" w:rsidRPr="00DB3781" w:rsidRDefault="00DB3781" w:rsidP="00DB3781">
      <w:pPr>
        <w:pStyle w:val="ConsPlusNormal"/>
        <w:ind w:firstLine="851"/>
        <w:jc w:val="both"/>
        <w:rPr>
          <w:sz w:val="28"/>
          <w:szCs w:val="28"/>
        </w:rPr>
      </w:pPr>
      <w:r w:rsidRPr="00DB3781">
        <w:rPr>
          <w:sz w:val="28"/>
          <w:szCs w:val="28"/>
        </w:rPr>
        <w:t>Эффективность использования субсидии муниципальным образованием области (Э</w:t>
      </w:r>
      <w:r w:rsidRPr="00DB3781">
        <w:rPr>
          <w:sz w:val="28"/>
          <w:szCs w:val="28"/>
          <w:vertAlign w:val="subscript"/>
        </w:rPr>
        <w:t>i</w:t>
      </w:r>
      <w:r w:rsidRPr="00DB3781">
        <w:rPr>
          <w:sz w:val="28"/>
          <w:szCs w:val="28"/>
        </w:rPr>
        <w:t>) рассчитывается по формуле:</w:t>
      </w:r>
    </w:p>
    <w:p w:rsidR="00DB3781" w:rsidRPr="00DB3781" w:rsidRDefault="00DB3781" w:rsidP="00DB3781">
      <w:pPr>
        <w:pStyle w:val="ConsPlusNormal"/>
        <w:ind w:firstLine="851"/>
        <w:jc w:val="both"/>
        <w:rPr>
          <w:sz w:val="28"/>
          <w:szCs w:val="28"/>
        </w:rPr>
      </w:pPr>
    </w:p>
    <w:p w:rsidR="00DB3781" w:rsidRPr="00DB3781" w:rsidRDefault="00DB3781" w:rsidP="00DB3781">
      <w:pPr>
        <w:pStyle w:val="ConsPlusNormal"/>
        <w:ind w:firstLine="851"/>
        <w:jc w:val="center"/>
        <w:rPr>
          <w:sz w:val="28"/>
          <w:szCs w:val="28"/>
        </w:rPr>
      </w:pPr>
      <w:r w:rsidRPr="00DB3781">
        <w:rPr>
          <w:noProof/>
          <w:position w:val="-31"/>
          <w:sz w:val="28"/>
          <w:szCs w:val="28"/>
        </w:rPr>
        <w:drawing>
          <wp:inline distT="0" distB="0" distL="0" distR="0" wp14:anchorId="54FB5D60" wp14:editId="4A39FF32">
            <wp:extent cx="1019175" cy="548640"/>
            <wp:effectExtent l="0" t="0" r="952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19175" cy="548640"/>
                    </a:xfrm>
                    <a:prstGeom prst="rect">
                      <a:avLst/>
                    </a:prstGeom>
                    <a:noFill/>
                    <a:ln>
                      <a:noFill/>
                    </a:ln>
                  </pic:spPr>
                </pic:pic>
              </a:graphicData>
            </a:graphic>
          </wp:inline>
        </w:drawing>
      </w:r>
    </w:p>
    <w:p w:rsidR="00DB3781" w:rsidRPr="00DB3781" w:rsidRDefault="00DB3781" w:rsidP="00DB3781">
      <w:pPr>
        <w:pStyle w:val="ConsPlusNormal"/>
        <w:ind w:firstLine="851"/>
        <w:jc w:val="both"/>
        <w:rPr>
          <w:sz w:val="28"/>
          <w:szCs w:val="28"/>
        </w:rPr>
      </w:pPr>
    </w:p>
    <w:p w:rsidR="00DB3781" w:rsidRPr="00DB3781" w:rsidRDefault="00DB3781" w:rsidP="00DB3781">
      <w:pPr>
        <w:pStyle w:val="ConsPlusNormal"/>
        <w:ind w:firstLine="851"/>
        <w:rPr>
          <w:sz w:val="28"/>
          <w:szCs w:val="28"/>
        </w:rPr>
      </w:pPr>
      <w:r w:rsidRPr="00DB3781">
        <w:rPr>
          <w:sz w:val="28"/>
          <w:szCs w:val="28"/>
        </w:rPr>
        <w:t>где:</w:t>
      </w:r>
    </w:p>
    <w:p w:rsidR="00DB3781" w:rsidRPr="00DB3781" w:rsidRDefault="00DB3781" w:rsidP="00DB3781">
      <w:pPr>
        <w:pStyle w:val="ConsPlusNormal"/>
        <w:ind w:firstLine="851"/>
        <w:jc w:val="both"/>
        <w:rPr>
          <w:sz w:val="28"/>
          <w:szCs w:val="28"/>
        </w:rPr>
      </w:pPr>
      <w:r w:rsidRPr="00DB3781">
        <w:rPr>
          <w:sz w:val="28"/>
          <w:szCs w:val="28"/>
        </w:rPr>
        <w:t>Ф</w:t>
      </w:r>
      <w:r w:rsidRPr="00DB3781">
        <w:rPr>
          <w:sz w:val="28"/>
          <w:szCs w:val="28"/>
          <w:vertAlign w:val="subscript"/>
        </w:rPr>
        <w:t>факт.</w:t>
      </w:r>
      <w:r w:rsidRPr="00DB3781">
        <w:rPr>
          <w:sz w:val="28"/>
          <w:szCs w:val="28"/>
        </w:rPr>
        <w:t xml:space="preserve"> - фактический объем субсидии, освоенный муниципальным образованием области;</w:t>
      </w:r>
    </w:p>
    <w:p w:rsidR="00DB3781" w:rsidRPr="00DB3781" w:rsidRDefault="00DB3781" w:rsidP="00DB3781">
      <w:pPr>
        <w:pStyle w:val="ConsPlusNormal"/>
        <w:ind w:firstLine="851"/>
        <w:jc w:val="both"/>
        <w:rPr>
          <w:sz w:val="28"/>
          <w:szCs w:val="28"/>
        </w:rPr>
      </w:pPr>
      <w:r w:rsidRPr="00DB3781">
        <w:rPr>
          <w:sz w:val="28"/>
          <w:szCs w:val="28"/>
        </w:rPr>
        <w:t>Ф</w:t>
      </w:r>
      <w:r w:rsidRPr="00DB3781">
        <w:rPr>
          <w:sz w:val="28"/>
          <w:szCs w:val="28"/>
          <w:vertAlign w:val="subscript"/>
        </w:rPr>
        <w:t>план.</w:t>
      </w:r>
      <w:r w:rsidRPr="00DB3781">
        <w:rPr>
          <w:sz w:val="28"/>
          <w:szCs w:val="28"/>
        </w:rPr>
        <w:t xml:space="preserve"> - объем предоставляемой муниципальному образованию области субсидии в соответствии с объемами предоставления субсидии на реализацию мероприятий по обеспечению безопасности граждан на водных объектах, приведенными в приложении к приказу нормативно-правового характера МРБ ЯО об утверждении комплекса процессных мероприятий "Обеспечение безопасности граждан на водных объектах".</w:t>
      </w:r>
    </w:p>
    <w:p w:rsidR="00DB3781" w:rsidRPr="00DB3781" w:rsidRDefault="00DB3781" w:rsidP="00DB3781">
      <w:pPr>
        <w:pStyle w:val="ConsPlusNormal"/>
        <w:ind w:firstLine="851"/>
        <w:jc w:val="both"/>
        <w:rPr>
          <w:sz w:val="28"/>
          <w:szCs w:val="28"/>
        </w:rPr>
      </w:pPr>
      <w:r w:rsidRPr="00DB3781">
        <w:rPr>
          <w:sz w:val="28"/>
          <w:szCs w:val="28"/>
        </w:rPr>
        <w:t>При значении показателя более 0,95 эффективность использования субсидии муниципальным образованием области признается высокой, при значении показателя от 0,75 до 0,95 - средней, при значении показателя менее 0,75 - низкой.</w:t>
      </w:r>
    </w:p>
    <w:p w:rsidR="00DB3781" w:rsidRPr="00DB3781" w:rsidRDefault="00DB3781" w:rsidP="00DB3781">
      <w:pPr>
        <w:pStyle w:val="ConsPlusNormal"/>
        <w:ind w:firstLine="851"/>
        <w:jc w:val="both"/>
        <w:rPr>
          <w:sz w:val="28"/>
          <w:szCs w:val="28"/>
        </w:rPr>
      </w:pPr>
      <w:r w:rsidRPr="00DB3781">
        <w:rPr>
          <w:sz w:val="28"/>
          <w:szCs w:val="28"/>
        </w:rPr>
        <w:t>19.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средства в доход областного бюджета. Объем средств, подлежащих возврату в доход областного бюджета (V</w:t>
      </w:r>
      <w:r w:rsidRPr="00DB3781">
        <w:rPr>
          <w:sz w:val="28"/>
          <w:szCs w:val="28"/>
          <w:vertAlign w:val="subscript"/>
        </w:rPr>
        <w:t>возврата</w:t>
      </w:r>
      <w:r w:rsidRPr="00DB3781">
        <w:rPr>
          <w:sz w:val="28"/>
          <w:szCs w:val="28"/>
        </w:rPr>
        <w:t>), определяется по формуле:</w:t>
      </w:r>
    </w:p>
    <w:p w:rsidR="00DB3781" w:rsidRPr="00DB3781" w:rsidRDefault="00DB3781" w:rsidP="00DB3781">
      <w:pPr>
        <w:pStyle w:val="ConsPlusNormal"/>
        <w:ind w:firstLine="851"/>
        <w:jc w:val="both"/>
        <w:rPr>
          <w:sz w:val="28"/>
          <w:szCs w:val="28"/>
        </w:rPr>
      </w:pPr>
    </w:p>
    <w:p w:rsidR="00DB3781" w:rsidRPr="00DB3781" w:rsidRDefault="00DB3781" w:rsidP="00DB3781">
      <w:pPr>
        <w:pStyle w:val="ConsPlusNormal"/>
        <w:ind w:firstLine="851"/>
        <w:jc w:val="center"/>
        <w:rPr>
          <w:sz w:val="28"/>
          <w:szCs w:val="28"/>
        </w:rPr>
      </w:pPr>
      <w:r w:rsidRPr="00DB3781">
        <w:rPr>
          <w:sz w:val="28"/>
          <w:szCs w:val="28"/>
        </w:rPr>
        <w:t>V</w:t>
      </w:r>
      <w:r w:rsidRPr="00DB3781">
        <w:rPr>
          <w:sz w:val="28"/>
          <w:szCs w:val="28"/>
          <w:vertAlign w:val="subscript"/>
        </w:rPr>
        <w:t>возврата</w:t>
      </w:r>
      <w:r w:rsidRPr="00DB3781">
        <w:rPr>
          <w:sz w:val="28"/>
          <w:szCs w:val="28"/>
        </w:rPr>
        <w:t xml:space="preserve"> = (V</w:t>
      </w:r>
      <w:r w:rsidRPr="00DB3781">
        <w:rPr>
          <w:sz w:val="28"/>
          <w:szCs w:val="28"/>
          <w:vertAlign w:val="subscript"/>
        </w:rPr>
        <w:t>субсидии</w:t>
      </w:r>
      <w:r w:rsidRPr="00DB3781">
        <w:rPr>
          <w:sz w:val="28"/>
          <w:szCs w:val="28"/>
        </w:rPr>
        <w:t xml:space="preserve"> x k x m / n) x 0,1,</w:t>
      </w:r>
    </w:p>
    <w:p w:rsidR="00DB3781" w:rsidRPr="00DB3781" w:rsidRDefault="00DB3781" w:rsidP="00DB3781">
      <w:pPr>
        <w:pStyle w:val="ConsPlusNormal"/>
        <w:ind w:firstLine="851"/>
        <w:jc w:val="both"/>
        <w:rPr>
          <w:sz w:val="28"/>
          <w:szCs w:val="28"/>
        </w:rPr>
      </w:pPr>
    </w:p>
    <w:p w:rsidR="00DB3781" w:rsidRPr="00DB3781" w:rsidRDefault="00DB3781" w:rsidP="00DB3781">
      <w:pPr>
        <w:pStyle w:val="ConsPlusNormal"/>
        <w:ind w:firstLine="851"/>
        <w:rPr>
          <w:sz w:val="28"/>
          <w:szCs w:val="28"/>
        </w:rPr>
      </w:pPr>
      <w:r w:rsidRPr="00DB3781">
        <w:rPr>
          <w:sz w:val="28"/>
          <w:szCs w:val="28"/>
        </w:rPr>
        <w:t>где:</w:t>
      </w:r>
    </w:p>
    <w:p w:rsidR="00DB3781" w:rsidRPr="00DB3781" w:rsidRDefault="00DB3781" w:rsidP="00DB3781">
      <w:pPr>
        <w:pStyle w:val="ConsPlusNormal"/>
        <w:ind w:firstLine="851"/>
        <w:jc w:val="both"/>
        <w:rPr>
          <w:sz w:val="28"/>
          <w:szCs w:val="28"/>
        </w:rPr>
      </w:pPr>
      <w:r w:rsidRPr="00DB3781">
        <w:rPr>
          <w:sz w:val="28"/>
          <w:szCs w:val="28"/>
        </w:rPr>
        <w:t>V</w:t>
      </w:r>
      <w:r w:rsidRPr="00DB3781">
        <w:rPr>
          <w:sz w:val="28"/>
          <w:szCs w:val="28"/>
          <w:vertAlign w:val="subscript"/>
        </w:rPr>
        <w:t>субсидии</w:t>
      </w:r>
      <w:r w:rsidRPr="00DB3781">
        <w:rPr>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w:t>
      </w:r>
    </w:p>
    <w:p w:rsidR="00DB3781" w:rsidRPr="00DB3781" w:rsidRDefault="00DB3781" w:rsidP="00DB3781">
      <w:pPr>
        <w:pStyle w:val="ConsPlusNormal"/>
        <w:ind w:firstLine="851"/>
        <w:jc w:val="both"/>
        <w:rPr>
          <w:sz w:val="28"/>
          <w:szCs w:val="28"/>
        </w:rPr>
      </w:pPr>
      <w:r w:rsidRPr="00DB3781">
        <w:rPr>
          <w:sz w:val="28"/>
          <w:szCs w:val="28"/>
        </w:rPr>
        <w:t>k - коэффициент возврата субсидии;</w:t>
      </w:r>
    </w:p>
    <w:p w:rsidR="00DB3781" w:rsidRPr="00DB3781" w:rsidRDefault="00DB3781" w:rsidP="00DB3781">
      <w:pPr>
        <w:pStyle w:val="ConsPlusNormal"/>
        <w:ind w:firstLine="851"/>
        <w:jc w:val="both"/>
        <w:rPr>
          <w:sz w:val="28"/>
          <w:szCs w:val="28"/>
        </w:rPr>
      </w:pPr>
      <w:r w:rsidRPr="00DB3781">
        <w:rPr>
          <w:sz w:val="28"/>
          <w:szCs w:val="28"/>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DB3781" w:rsidRPr="00DB3781" w:rsidRDefault="00DB3781" w:rsidP="00DB3781">
      <w:pPr>
        <w:pStyle w:val="ConsPlusNormal"/>
        <w:ind w:firstLine="851"/>
        <w:jc w:val="both"/>
        <w:rPr>
          <w:sz w:val="28"/>
          <w:szCs w:val="28"/>
        </w:rPr>
      </w:pPr>
      <w:r w:rsidRPr="00DB3781">
        <w:rPr>
          <w:sz w:val="28"/>
          <w:szCs w:val="28"/>
        </w:rPr>
        <w:t>n - общее количество результатов использования субсидии;</w:t>
      </w:r>
    </w:p>
    <w:p w:rsidR="00DB3781" w:rsidRPr="00DB3781" w:rsidRDefault="00DB3781" w:rsidP="00DB3781">
      <w:pPr>
        <w:pStyle w:val="ConsPlusNormal"/>
        <w:ind w:firstLine="851"/>
        <w:jc w:val="both"/>
        <w:rPr>
          <w:sz w:val="28"/>
          <w:szCs w:val="28"/>
        </w:rPr>
      </w:pPr>
      <w:r w:rsidRPr="00DB3781">
        <w:rPr>
          <w:sz w:val="28"/>
          <w:szCs w:val="28"/>
        </w:rPr>
        <w:t>0,1 - понижающий коэффициент суммы возврата субсидии.</w:t>
      </w:r>
    </w:p>
    <w:p w:rsidR="00DB3781" w:rsidRPr="00DB3781" w:rsidRDefault="00DB3781" w:rsidP="00DB3781">
      <w:pPr>
        <w:pStyle w:val="ConsPlusNormal"/>
        <w:ind w:firstLine="851"/>
        <w:jc w:val="both"/>
        <w:rPr>
          <w:sz w:val="28"/>
          <w:szCs w:val="28"/>
        </w:rPr>
      </w:pPr>
      <w:r w:rsidRPr="00DB3781">
        <w:rPr>
          <w:sz w:val="28"/>
          <w:szCs w:val="28"/>
        </w:rPr>
        <w:t>Коэффициент возврата субсидии (k) рассчитывается по формуле:</w:t>
      </w:r>
    </w:p>
    <w:p w:rsidR="00DB3781" w:rsidRPr="00DB3781" w:rsidRDefault="00DB3781" w:rsidP="00DB3781">
      <w:pPr>
        <w:pStyle w:val="ConsPlusNormal"/>
        <w:ind w:firstLine="851"/>
        <w:jc w:val="both"/>
        <w:rPr>
          <w:sz w:val="28"/>
          <w:szCs w:val="28"/>
        </w:rPr>
      </w:pPr>
    </w:p>
    <w:p w:rsidR="00DB3781" w:rsidRPr="00DB3781" w:rsidRDefault="00DB3781" w:rsidP="00DB3781">
      <w:pPr>
        <w:pStyle w:val="ConsPlusNormal"/>
        <w:ind w:firstLine="851"/>
        <w:jc w:val="center"/>
        <w:rPr>
          <w:sz w:val="28"/>
          <w:szCs w:val="28"/>
        </w:rPr>
      </w:pPr>
      <w:r w:rsidRPr="00DB3781">
        <w:rPr>
          <w:noProof/>
          <w:position w:val="-12"/>
          <w:sz w:val="28"/>
          <w:szCs w:val="28"/>
        </w:rPr>
        <w:drawing>
          <wp:inline distT="0" distB="0" distL="0" distR="0" wp14:anchorId="2DFFFA68" wp14:editId="50362812">
            <wp:extent cx="1057910" cy="313690"/>
            <wp:effectExtent l="0" t="0" r="88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7910" cy="313690"/>
                    </a:xfrm>
                    <a:prstGeom prst="rect">
                      <a:avLst/>
                    </a:prstGeom>
                    <a:noFill/>
                    <a:ln>
                      <a:noFill/>
                    </a:ln>
                  </pic:spPr>
                </pic:pic>
              </a:graphicData>
            </a:graphic>
          </wp:inline>
        </w:drawing>
      </w:r>
    </w:p>
    <w:p w:rsidR="00DB3781" w:rsidRPr="00DB3781" w:rsidRDefault="00DB3781" w:rsidP="00DB3781">
      <w:pPr>
        <w:pStyle w:val="ConsPlusNormal"/>
        <w:ind w:firstLine="851"/>
        <w:jc w:val="both"/>
        <w:rPr>
          <w:sz w:val="28"/>
          <w:szCs w:val="28"/>
        </w:rPr>
      </w:pPr>
    </w:p>
    <w:p w:rsidR="00DB3781" w:rsidRPr="00DB3781" w:rsidRDefault="00DB3781" w:rsidP="00DB3781">
      <w:pPr>
        <w:pStyle w:val="ConsPlusNormal"/>
        <w:ind w:firstLine="851"/>
        <w:jc w:val="both"/>
        <w:rPr>
          <w:sz w:val="28"/>
          <w:szCs w:val="28"/>
        </w:rPr>
      </w:pPr>
      <w:r w:rsidRPr="00DB3781">
        <w:rPr>
          <w:sz w:val="28"/>
          <w:szCs w:val="28"/>
        </w:rPr>
        <w:t>где Di - индекс, отражающий уровень недостижения i-го результата использования субсидии.</w:t>
      </w:r>
    </w:p>
    <w:p w:rsidR="00DB3781" w:rsidRPr="00DB3781" w:rsidRDefault="00DB3781" w:rsidP="00DB3781">
      <w:pPr>
        <w:pStyle w:val="ConsPlusNormal"/>
        <w:ind w:firstLine="851"/>
        <w:jc w:val="both"/>
        <w:rPr>
          <w:sz w:val="28"/>
          <w:szCs w:val="28"/>
        </w:rPr>
      </w:pPr>
      <w:r w:rsidRPr="00DB3781">
        <w:rPr>
          <w:sz w:val="28"/>
          <w:szCs w:val="28"/>
        </w:rPr>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DB3781" w:rsidRPr="00DB3781" w:rsidRDefault="00DB3781" w:rsidP="00DB3781">
      <w:pPr>
        <w:pStyle w:val="ConsPlusNormal"/>
        <w:ind w:firstLine="851"/>
        <w:jc w:val="both"/>
        <w:rPr>
          <w:sz w:val="28"/>
          <w:szCs w:val="28"/>
        </w:rPr>
      </w:pPr>
      <w:r w:rsidRPr="00DB3781">
        <w:rPr>
          <w:sz w:val="28"/>
          <w:szCs w:val="28"/>
        </w:rPr>
        <w:t>Индекс, отражающий уровень недостижения i-го результата использования субсидии (Di), определяется по формуле:</w:t>
      </w:r>
    </w:p>
    <w:p w:rsidR="00DB3781" w:rsidRPr="00DB3781" w:rsidRDefault="00DB3781" w:rsidP="00DB3781">
      <w:pPr>
        <w:pStyle w:val="ConsPlusNormal"/>
        <w:ind w:firstLine="851"/>
        <w:jc w:val="both"/>
        <w:rPr>
          <w:sz w:val="28"/>
          <w:szCs w:val="28"/>
        </w:rPr>
      </w:pPr>
    </w:p>
    <w:p w:rsidR="00DB3781" w:rsidRPr="00DB3781" w:rsidRDefault="00DB3781" w:rsidP="00DB3781">
      <w:pPr>
        <w:pStyle w:val="ConsPlusNormal"/>
        <w:ind w:firstLine="851"/>
        <w:jc w:val="center"/>
        <w:rPr>
          <w:sz w:val="28"/>
          <w:szCs w:val="28"/>
        </w:rPr>
      </w:pPr>
      <w:r w:rsidRPr="00DB3781">
        <w:rPr>
          <w:sz w:val="28"/>
          <w:szCs w:val="28"/>
        </w:rPr>
        <w:t>Di = 1 - Ti / Si,</w:t>
      </w:r>
    </w:p>
    <w:p w:rsidR="00DB3781" w:rsidRPr="00DB3781" w:rsidRDefault="00DB3781" w:rsidP="00DB3781">
      <w:pPr>
        <w:pStyle w:val="ConsPlusNormal"/>
        <w:ind w:firstLine="851"/>
        <w:jc w:val="both"/>
        <w:rPr>
          <w:sz w:val="28"/>
          <w:szCs w:val="28"/>
        </w:rPr>
      </w:pPr>
    </w:p>
    <w:p w:rsidR="00DB3781" w:rsidRPr="00DB3781" w:rsidRDefault="00DB3781" w:rsidP="00DB3781">
      <w:pPr>
        <w:pStyle w:val="ConsPlusNormal"/>
        <w:ind w:firstLine="851"/>
        <w:rPr>
          <w:sz w:val="28"/>
          <w:szCs w:val="28"/>
        </w:rPr>
      </w:pPr>
      <w:r w:rsidRPr="00DB3781">
        <w:rPr>
          <w:sz w:val="28"/>
          <w:szCs w:val="28"/>
        </w:rPr>
        <w:t>где:</w:t>
      </w:r>
    </w:p>
    <w:p w:rsidR="00DB3781" w:rsidRPr="00DB3781" w:rsidRDefault="00DB3781" w:rsidP="00DB3781">
      <w:pPr>
        <w:pStyle w:val="ConsPlusNormal"/>
        <w:ind w:firstLine="851"/>
        <w:jc w:val="both"/>
        <w:rPr>
          <w:sz w:val="28"/>
          <w:szCs w:val="28"/>
        </w:rPr>
      </w:pPr>
      <w:r w:rsidRPr="00DB3781">
        <w:rPr>
          <w:sz w:val="28"/>
          <w:szCs w:val="28"/>
        </w:rPr>
        <w:t>Ti - фактически достигнутое значение i-го результата использования субсидии на отчетную дату;</w:t>
      </w:r>
    </w:p>
    <w:p w:rsidR="00DB3781" w:rsidRPr="00DB3781" w:rsidRDefault="00DB3781" w:rsidP="00DB3781">
      <w:pPr>
        <w:pStyle w:val="ConsPlusNormal"/>
        <w:ind w:firstLine="851"/>
        <w:jc w:val="both"/>
        <w:rPr>
          <w:sz w:val="28"/>
          <w:szCs w:val="28"/>
        </w:rPr>
      </w:pPr>
      <w:r w:rsidRPr="00DB3781">
        <w:rPr>
          <w:sz w:val="28"/>
          <w:szCs w:val="28"/>
        </w:rPr>
        <w:t>Si - плановое значение i-го результата использования субсидии, установленное соглашением.</w:t>
      </w:r>
    </w:p>
    <w:p w:rsidR="00DB3781" w:rsidRPr="00DB3781" w:rsidRDefault="00DB3781" w:rsidP="00DB3781">
      <w:pPr>
        <w:pStyle w:val="ConsPlusNormal"/>
        <w:ind w:firstLine="851"/>
        <w:jc w:val="both"/>
        <w:rPr>
          <w:sz w:val="28"/>
          <w:szCs w:val="28"/>
        </w:rPr>
      </w:pPr>
      <w:r w:rsidRPr="00DB3781">
        <w:rPr>
          <w:sz w:val="28"/>
          <w:szCs w:val="28"/>
        </w:rPr>
        <w:t>20.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(Sн), рассчитывается по формуле:</w:t>
      </w:r>
    </w:p>
    <w:p w:rsidR="00DB3781" w:rsidRPr="00DB3781" w:rsidRDefault="00DB3781" w:rsidP="00DB3781">
      <w:pPr>
        <w:pStyle w:val="ConsPlusNormal"/>
        <w:ind w:firstLine="851"/>
        <w:jc w:val="both"/>
        <w:rPr>
          <w:sz w:val="28"/>
          <w:szCs w:val="28"/>
        </w:rPr>
      </w:pPr>
    </w:p>
    <w:p w:rsidR="00DB3781" w:rsidRPr="00DB3781" w:rsidRDefault="00DB3781" w:rsidP="00DB3781">
      <w:pPr>
        <w:pStyle w:val="ConsPlusNormal"/>
        <w:ind w:firstLine="851"/>
        <w:jc w:val="center"/>
        <w:rPr>
          <w:sz w:val="28"/>
          <w:szCs w:val="28"/>
        </w:rPr>
      </w:pPr>
      <w:r w:rsidRPr="00DB3781">
        <w:rPr>
          <w:sz w:val="28"/>
          <w:szCs w:val="28"/>
        </w:rPr>
        <w:t>Sн = Sф - Sк x Kф,</w:t>
      </w:r>
    </w:p>
    <w:p w:rsidR="00DB3781" w:rsidRPr="00DB3781" w:rsidRDefault="00DB3781" w:rsidP="00DB3781">
      <w:pPr>
        <w:pStyle w:val="ConsPlusNormal"/>
        <w:ind w:firstLine="851"/>
        <w:rPr>
          <w:sz w:val="28"/>
          <w:szCs w:val="28"/>
        </w:rPr>
      </w:pPr>
      <w:r w:rsidRPr="00DB3781">
        <w:rPr>
          <w:sz w:val="28"/>
          <w:szCs w:val="28"/>
        </w:rPr>
        <w:t>где:</w:t>
      </w:r>
    </w:p>
    <w:p w:rsidR="00DB3781" w:rsidRPr="00DB3781" w:rsidRDefault="00DB3781" w:rsidP="00DB3781">
      <w:pPr>
        <w:pStyle w:val="ConsPlusNormal"/>
        <w:ind w:firstLine="851"/>
        <w:jc w:val="both"/>
        <w:rPr>
          <w:sz w:val="28"/>
          <w:szCs w:val="28"/>
        </w:rPr>
      </w:pPr>
      <w:r w:rsidRPr="00DB3781">
        <w:rPr>
          <w:sz w:val="28"/>
          <w:szCs w:val="28"/>
        </w:rPr>
        <w:t>Sф - размер субсидии, предоставленной для софинансирования расходного обязательства муниципального образования, по состоянию на дату окончания контрольного мероприятия;</w:t>
      </w:r>
    </w:p>
    <w:p w:rsidR="00DB3781" w:rsidRPr="00DB3781" w:rsidRDefault="00DB3781" w:rsidP="00DB3781">
      <w:pPr>
        <w:pStyle w:val="ConsPlusNormal"/>
        <w:ind w:firstLine="851"/>
        <w:jc w:val="both"/>
        <w:rPr>
          <w:sz w:val="28"/>
          <w:szCs w:val="28"/>
        </w:rPr>
      </w:pPr>
      <w:r w:rsidRPr="00DB3781">
        <w:rPr>
          <w:sz w:val="28"/>
          <w:szCs w:val="28"/>
        </w:rPr>
        <w:t>Sк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получателем средств, необходимых для исполнения расходного обязательства муниципального образования, в целях софинансирования которого предоставлена субсидия, по состоянию на дату окончания контрольного мероприятия;</w:t>
      </w:r>
    </w:p>
    <w:p w:rsidR="00DB3781" w:rsidRPr="00DB3781" w:rsidRDefault="00DB3781" w:rsidP="00DB3781">
      <w:pPr>
        <w:pStyle w:val="ConsPlusNormal"/>
        <w:ind w:firstLine="851"/>
        <w:jc w:val="both"/>
        <w:rPr>
          <w:sz w:val="28"/>
          <w:szCs w:val="28"/>
        </w:rPr>
      </w:pPr>
      <w:r w:rsidRPr="00DB3781">
        <w:rPr>
          <w:sz w:val="28"/>
          <w:szCs w:val="28"/>
        </w:rPr>
        <w:t>Kф - безразмерный коэффициент, выражающий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 (объекту капитального строительства, объекту недвижимого имущества), предусмотренный соглашением.</w:t>
      </w:r>
    </w:p>
    <w:p w:rsidR="00DB3781" w:rsidRPr="00DB3781" w:rsidRDefault="00DB3781" w:rsidP="00DB3781">
      <w:pPr>
        <w:pStyle w:val="ConsPlusNormal"/>
        <w:ind w:firstLine="851"/>
        <w:jc w:val="both"/>
        <w:rPr>
          <w:sz w:val="28"/>
          <w:szCs w:val="28"/>
        </w:rPr>
      </w:pPr>
      <w:r w:rsidRPr="00DB3781">
        <w:rPr>
          <w:sz w:val="28"/>
          <w:szCs w:val="28"/>
        </w:rPr>
        <w:t>21. При выявлении случаев, указанных в пунктах 20 и 21 Порядка, МРБ ЯО в срок не позднее 15 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DB3781" w:rsidRPr="00DB3781" w:rsidRDefault="00DB3781" w:rsidP="00DB3781">
      <w:pPr>
        <w:pStyle w:val="ConsPlusNormal"/>
        <w:ind w:firstLine="851"/>
        <w:jc w:val="both"/>
        <w:rPr>
          <w:sz w:val="28"/>
          <w:szCs w:val="28"/>
        </w:rPr>
      </w:pPr>
      <w:r w:rsidRPr="00DB3781">
        <w:rPr>
          <w:sz w:val="28"/>
          <w:szCs w:val="28"/>
        </w:rPr>
        <w:lastRenderedPageBreak/>
        <w:t>МРБ ЯО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муниципальными образованиями области средств местного бюджета в областной бюджет в срок, установленный абзацем первым данного пункта.</w:t>
      </w:r>
    </w:p>
    <w:p w:rsidR="00DB3781" w:rsidRPr="00DB3781" w:rsidRDefault="00DB3781" w:rsidP="00DB3781">
      <w:pPr>
        <w:pStyle w:val="ConsPlusNormal"/>
        <w:ind w:firstLine="851"/>
        <w:jc w:val="both"/>
        <w:rPr>
          <w:sz w:val="28"/>
          <w:szCs w:val="28"/>
        </w:rPr>
      </w:pPr>
      <w:r w:rsidRPr="00DB3781">
        <w:rPr>
          <w:sz w:val="28"/>
          <w:szCs w:val="28"/>
        </w:rPr>
        <w:t>22.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постановлением Правительства Ярославской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DB3781" w:rsidRPr="00DB3781" w:rsidRDefault="00DB3781" w:rsidP="00DB3781">
      <w:pPr>
        <w:pStyle w:val="ConsPlusNormal"/>
        <w:ind w:firstLine="851"/>
        <w:jc w:val="both"/>
        <w:rPr>
          <w:sz w:val="28"/>
          <w:szCs w:val="28"/>
        </w:rPr>
      </w:pPr>
      <w:r w:rsidRPr="00DB3781">
        <w:rPr>
          <w:sz w:val="28"/>
          <w:szCs w:val="28"/>
        </w:rPr>
        <w:t>(в ред. Постановления Правительства ЯО от 15.08.2024 N 852-п)</w:t>
      </w:r>
    </w:p>
    <w:p w:rsidR="00DB3781" w:rsidRPr="00DB3781" w:rsidRDefault="00DB3781" w:rsidP="00DB3781">
      <w:pPr>
        <w:pStyle w:val="ConsPlusNormal"/>
        <w:ind w:firstLine="851"/>
        <w:jc w:val="both"/>
        <w:rPr>
          <w:sz w:val="28"/>
          <w:szCs w:val="28"/>
        </w:rPr>
      </w:pPr>
      <w:r w:rsidRPr="00DB3781">
        <w:rPr>
          <w:sz w:val="28"/>
          <w:szCs w:val="28"/>
        </w:rPr>
        <w:t>23.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DB3781" w:rsidRPr="00DB3781" w:rsidRDefault="00DB3781" w:rsidP="00DB3781">
      <w:pPr>
        <w:pStyle w:val="ConsPlusNormal"/>
        <w:ind w:firstLine="851"/>
        <w:jc w:val="both"/>
        <w:rPr>
          <w:sz w:val="28"/>
          <w:szCs w:val="28"/>
        </w:rPr>
      </w:pPr>
      <w:r w:rsidRPr="00DB3781">
        <w:rPr>
          <w:sz w:val="28"/>
          <w:szCs w:val="28"/>
        </w:rPr>
        <w:t>- невозможность выполнения условий предоставления субсидии вследствие обстоятельств непреодолимой силы;</w:t>
      </w:r>
    </w:p>
    <w:p w:rsidR="00DB3781" w:rsidRPr="00DB3781" w:rsidRDefault="00DB3781" w:rsidP="00DB3781">
      <w:pPr>
        <w:pStyle w:val="ConsPlusNormal"/>
        <w:ind w:firstLine="851"/>
        <w:jc w:val="both"/>
        <w:rPr>
          <w:sz w:val="28"/>
          <w:szCs w:val="28"/>
        </w:rPr>
      </w:pPr>
      <w:r w:rsidRPr="00DB3781">
        <w:rPr>
          <w:sz w:val="28"/>
          <w:szCs w:val="28"/>
        </w:rPr>
        <w:t>- изменение значений целевых показателей Государственной программы;</w:t>
      </w:r>
    </w:p>
    <w:p w:rsidR="00DB3781" w:rsidRPr="00DB3781" w:rsidRDefault="00DB3781" w:rsidP="00DB3781">
      <w:pPr>
        <w:pStyle w:val="ConsPlusNormal"/>
        <w:ind w:firstLine="851"/>
        <w:jc w:val="both"/>
        <w:rPr>
          <w:sz w:val="28"/>
          <w:szCs w:val="28"/>
        </w:rPr>
      </w:pPr>
      <w:r w:rsidRPr="00DB3781">
        <w:rPr>
          <w:sz w:val="28"/>
          <w:szCs w:val="28"/>
        </w:rPr>
        <w:t>- сокращение размера субсидии.</w:t>
      </w:r>
    </w:p>
    <w:p w:rsidR="00DB3781" w:rsidRPr="00DB3781" w:rsidRDefault="00DB3781" w:rsidP="00DB3781">
      <w:pPr>
        <w:pStyle w:val="ConsPlusNormal"/>
        <w:ind w:firstLine="851"/>
        <w:jc w:val="both"/>
        <w:rPr>
          <w:sz w:val="28"/>
          <w:szCs w:val="28"/>
        </w:rPr>
      </w:pPr>
      <w:r w:rsidRPr="00DB3781">
        <w:rPr>
          <w:sz w:val="28"/>
          <w:szCs w:val="28"/>
        </w:rPr>
        <w:t>24. Основанием для расторжения соглашения является отсутствие на 01 сентября года предоставления субсидии заключенных муниципальных контрактов (договоров) на приобретение специального имущества для оборудования общественных спасательных постов.</w:t>
      </w:r>
    </w:p>
    <w:p w:rsidR="00DB3781" w:rsidRPr="00DB3781" w:rsidRDefault="00DB3781" w:rsidP="00DB3781">
      <w:pPr>
        <w:pStyle w:val="ConsPlusNormal"/>
        <w:ind w:firstLine="851"/>
        <w:jc w:val="both"/>
        <w:rPr>
          <w:sz w:val="28"/>
          <w:szCs w:val="28"/>
        </w:rPr>
      </w:pPr>
      <w:r w:rsidRPr="00DB3781">
        <w:rPr>
          <w:sz w:val="28"/>
          <w:szCs w:val="28"/>
        </w:rPr>
        <w:t>25. В случае нецелевого использования субсидии к муниципальному образованию области применяются бюджетные меры принуждения, предусмотренные законодательством Российской Федерации.</w:t>
      </w:r>
    </w:p>
    <w:p w:rsidR="00DB3781" w:rsidRPr="00DB3781" w:rsidRDefault="00DB3781" w:rsidP="00DB3781">
      <w:pPr>
        <w:spacing w:after="0" w:line="240" w:lineRule="auto"/>
        <w:ind w:firstLine="851"/>
        <w:jc w:val="both"/>
        <w:rPr>
          <w:rFonts w:ascii="Times New Roman" w:hAnsi="Times New Roman" w:cs="Times New Roman"/>
          <w:sz w:val="28"/>
          <w:szCs w:val="28"/>
        </w:rPr>
      </w:pPr>
    </w:p>
    <w:sectPr w:rsidR="00DB3781" w:rsidRPr="00DB3781" w:rsidSect="00DB3781">
      <w:headerReference w:type="default" r:id="rId9"/>
      <w:pgSz w:w="11906" w:h="16838"/>
      <w:pgMar w:top="1134" w:right="566"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781" w:rsidRDefault="00DB3781" w:rsidP="00DB3781">
      <w:pPr>
        <w:spacing w:after="0" w:line="240" w:lineRule="auto"/>
      </w:pPr>
      <w:r>
        <w:separator/>
      </w:r>
    </w:p>
  </w:endnote>
  <w:endnote w:type="continuationSeparator" w:id="0">
    <w:p w:rsidR="00DB3781" w:rsidRDefault="00DB3781" w:rsidP="00DB3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21002A87" w:usb1="00000000" w:usb2="00000000"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781" w:rsidRDefault="00DB3781" w:rsidP="00DB3781">
      <w:pPr>
        <w:spacing w:after="0" w:line="240" w:lineRule="auto"/>
      </w:pPr>
      <w:r>
        <w:separator/>
      </w:r>
    </w:p>
  </w:footnote>
  <w:footnote w:type="continuationSeparator" w:id="0">
    <w:p w:rsidR="00DB3781" w:rsidRDefault="00DB3781" w:rsidP="00DB37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529141506"/>
      <w:docPartObj>
        <w:docPartGallery w:val="Page Numbers (Top of Page)"/>
        <w:docPartUnique/>
      </w:docPartObj>
    </w:sdtPr>
    <w:sdtEndPr/>
    <w:sdtContent>
      <w:p w:rsidR="00DB3781" w:rsidRPr="00DB3781" w:rsidRDefault="00DB3781">
        <w:pPr>
          <w:pStyle w:val="a3"/>
          <w:jc w:val="center"/>
          <w:rPr>
            <w:rFonts w:ascii="Times New Roman" w:hAnsi="Times New Roman" w:cs="Times New Roman"/>
            <w:sz w:val="28"/>
            <w:szCs w:val="28"/>
          </w:rPr>
        </w:pPr>
        <w:r w:rsidRPr="00DB3781">
          <w:rPr>
            <w:rFonts w:ascii="Times New Roman" w:hAnsi="Times New Roman" w:cs="Times New Roman"/>
            <w:sz w:val="28"/>
            <w:szCs w:val="28"/>
          </w:rPr>
          <w:fldChar w:fldCharType="begin"/>
        </w:r>
        <w:r w:rsidRPr="00DB3781">
          <w:rPr>
            <w:rFonts w:ascii="Times New Roman" w:hAnsi="Times New Roman" w:cs="Times New Roman"/>
            <w:sz w:val="28"/>
            <w:szCs w:val="28"/>
          </w:rPr>
          <w:instrText>PAGE   \* MERGEFORMAT</w:instrText>
        </w:r>
        <w:r w:rsidRPr="00DB3781">
          <w:rPr>
            <w:rFonts w:ascii="Times New Roman" w:hAnsi="Times New Roman" w:cs="Times New Roman"/>
            <w:sz w:val="28"/>
            <w:szCs w:val="28"/>
          </w:rPr>
          <w:fldChar w:fldCharType="separate"/>
        </w:r>
        <w:r w:rsidR="00091865">
          <w:rPr>
            <w:rFonts w:ascii="Times New Roman" w:hAnsi="Times New Roman" w:cs="Times New Roman"/>
            <w:noProof/>
            <w:sz w:val="28"/>
            <w:szCs w:val="28"/>
          </w:rPr>
          <w:t>2</w:t>
        </w:r>
        <w:r w:rsidRPr="00DB3781">
          <w:rPr>
            <w:rFonts w:ascii="Times New Roman" w:hAnsi="Times New Roman" w:cs="Times New Roman"/>
            <w:sz w:val="28"/>
            <w:szCs w:val="28"/>
          </w:rPr>
          <w:fldChar w:fldCharType="end"/>
        </w:r>
      </w:p>
    </w:sdtContent>
  </w:sdt>
  <w:p w:rsidR="00DB3781" w:rsidRDefault="00DB378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781"/>
    <w:rsid w:val="00040C94"/>
    <w:rsid w:val="00091865"/>
    <w:rsid w:val="002131EE"/>
    <w:rsid w:val="00280403"/>
    <w:rsid w:val="003A5C35"/>
    <w:rsid w:val="003C4914"/>
    <w:rsid w:val="00721533"/>
    <w:rsid w:val="007A3EB5"/>
    <w:rsid w:val="007A3F68"/>
    <w:rsid w:val="007B694F"/>
    <w:rsid w:val="007B7301"/>
    <w:rsid w:val="00BA7712"/>
    <w:rsid w:val="00C9304E"/>
    <w:rsid w:val="00D754FC"/>
    <w:rsid w:val="00DB3781"/>
    <w:rsid w:val="00DF3E98"/>
    <w:rsid w:val="00E94F5C"/>
    <w:rsid w:val="00E97D45"/>
    <w:rsid w:val="00EC6EC6"/>
    <w:rsid w:val="00EF639D"/>
    <w:rsid w:val="00FD6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A6827"/>
  <w15:docId w15:val="{FE4A8900-B655-4A91-B29B-585ED76C1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378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3781"/>
  </w:style>
  <w:style w:type="paragraph" w:styleId="a5">
    <w:name w:val="footer"/>
    <w:basedOn w:val="a"/>
    <w:link w:val="a6"/>
    <w:uiPriority w:val="99"/>
    <w:unhideWhenUsed/>
    <w:rsid w:val="00DB378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3781"/>
  </w:style>
  <w:style w:type="paragraph" w:customStyle="1" w:styleId="ConsPlusNormal">
    <w:name w:val="ConsPlusNormal"/>
    <w:rsid w:val="00DB378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7">
    <w:name w:val="Balloon Text"/>
    <w:basedOn w:val="a"/>
    <w:link w:val="a8"/>
    <w:uiPriority w:val="99"/>
    <w:semiHidden/>
    <w:unhideWhenUsed/>
    <w:rsid w:val="00DB378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B37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44942">
      <w:bodyDiv w:val="1"/>
      <w:marLeft w:val="0"/>
      <w:marRight w:val="0"/>
      <w:marTop w:val="0"/>
      <w:marBottom w:val="0"/>
      <w:divBdr>
        <w:top w:val="none" w:sz="0" w:space="0" w:color="auto"/>
        <w:left w:val="none" w:sz="0" w:space="0" w:color="auto"/>
        <w:bottom w:val="none" w:sz="0" w:space="0" w:color="auto"/>
        <w:right w:val="none" w:sz="0" w:space="0" w:color="auto"/>
      </w:divBdr>
      <w:divsChild>
        <w:div w:id="199558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2715</Words>
  <Characters>15482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Коркина Евгения Александровна</dc:creator>
  <cp:lastModifiedBy>Овсянникова Евгения Владимировна</cp:lastModifiedBy>
  <cp:revision>4</cp:revision>
  <dcterms:created xsi:type="dcterms:W3CDTF">2024-10-16T06:15:00Z</dcterms:created>
  <dcterms:modified xsi:type="dcterms:W3CDTF">2024-10-30T18:11:00Z</dcterms:modified>
</cp:coreProperties>
</file>