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6A" w:rsidRPr="005719BB" w:rsidRDefault="0066196A" w:rsidP="00D426FE">
      <w:pPr>
        <w:pStyle w:val="a3"/>
        <w:rPr>
          <w:b w:val="0"/>
        </w:rPr>
      </w:pPr>
      <w:bookmarkStart w:id="0" w:name="_GoBack"/>
      <w:bookmarkEnd w:id="0"/>
      <w:r w:rsidRPr="005719BB">
        <w:rPr>
          <w:b w:val="0"/>
        </w:rPr>
        <w:t>Пояснительная записка</w:t>
      </w:r>
    </w:p>
    <w:p w:rsidR="0066196A" w:rsidRPr="005719BB" w:rsidRDefault="0066196A" w:rsidP="00D426FE">
      <w:pPr>
        <w:pStyle w:val="a3"/>
        <w:rPr>
          <w:b w:val="0"/>
        </w:rPr>
      </w:pPr>
      <w:r w:rsidRPr="005719BB">
        <w:rPr>
          <w:b w:val="0"/>
        </w:rPr>
        <w:t>к проекту закона Ярославской области</w:t>
      </w:r>
    </w:p>
    <w:p w:rsidR="0066196A" w:rsidRPr="005719BB" w:rsidRDefault="0066196A" w:rsidP="00D426FE">
      <w:pPr>
        <w:pStyle w:val="a3"/>
        <w:rPr>
          <w:b w:val="0"/>
        </w:rPr>
      </w:pPr>
      <w:r w:rsidRPr="005719BB">
        <w:rPr>
          <w:b w:val="0"/>
        </w:rPr>
        <w:t>«О внесении изменений в Закон Ярославской области</w:t>
      </w:r>
    </w:p>
    <w:p w:rsidR="0066196A" w:rsidRPr="005719BB" w:rsidRDefault="0066196A" w:rsidP="00D426FE">
      <w:pPr>
        <w:pStyle w:val="a3"/>
        <w:rPr>
          <w:b w:val="0"/>
        </w:rPr>
      </w:pPr>
      <w:r w:rsidRPr="005719BB">
        <w:rPr>
          <w:b w:val="0"/>
        </w:rPr>
        <w:t>«О бюджете Территориального фонда обязательного</w:t>
      </w:r>
    </w:p>
    <w:p w:rsidR="0066196A" w:rsidRPr="005719BB" w:rsidRDefault="0066196A" w:rsidP="00D426FE">
      <w:pPr>
        <w:pStyle w:val="a3"/>
        <w:rPr>
          <w:b w:val="0"/>
        </w:rPr>
      </w:pPr>
      <w:r w:rsidRPr="005719BB">
        <w:rPr>
          <w:b w:val="0"/>
        </w:rPr>
        <w:t>медицинского страхования Ярославской области</w:t>
      </w:r>
    </w:p>
    <w:p w:rsidR="0066196A" w:rsidRPr="005719BB" w:rsidRDefault="0066196A" w:rsidP="00D426FE">
      <w:pPr>
        <w:pStyle w:val="a3"/>
        <w:rPr>
          <w:sz w:val="24"/>
          <w:szCs w:val="24"/>
        </w:rPr>
      </w:pPr>
      <w:r w:rsidRPr="005719BB">
        <w:rPr>
          <w:b w:val="0"/>
        </w:rPr>
        <w:t>на 2021 год и на плановый период 2022 и 2023 годов»</w:t>
      </w:r>
    </w:p>
    <w:p w:rsidR="0066196A" w:rsidRPr="005719BB" w:rsidRDefault="0066196A" w:rsidP="0066196A">
      <w:pPr>
        <w:pStyle w:val="a3"/>
        <w:ind w:firstLine="709"/>
        <w:rPr>
          <w:sz w:val="24"/>
          <w:szCs w:val="24"/>
        </w:rPr>
      </w:pPr>
    </w:p>
    <w:p w:rsidR="0066196A" w:rsidRPr="005719BB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 xml:space="preserve">Проект закона подготовлен в целях полноты отражения доходов, расходов и источников внутреннего </w:t>
      </w:r>
      <w:proofErr w:type="gramStart"/>
      <w:r w:rsidRPr="005719BB">
        <w:rPr>
          <w:sz w:val="28"/>
          <w:szCs w:val="28"/>
        </w:rPr>
        <w:t>финансирования дефицита бюджета Территориального фонда обязательного медицинского страхования Ярославской</w:t>
      </w:r>
      <w:proofErr w:type="gramEnd"/>
      <w:r w:rsidRPr="005719BB">
        <w:rPr>
          <w:sz w:val="28"/>
          <w:szCs w:val="28"/>
        </w:rPr>
        <w:t xml:space="preserve"> области (далее – Фонд, ОМС).</w:t>
      </w:r>
    </w:p>
    <w:p w:rsidR="0066196A" w:rsidRPr="005719BB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 xml:space="preserve">Основные изменения плановых показателей 2021 года связаны </w:t>
      </w:r>
      <w:proofErr w:type="gramStart"/>
      <w:r w:rsidRPr="005719BB">
        <w:rPr>
          <w:sz w:val="28"/>
          <w:szCs w:val="28"/>
        </w:rPr>
        <w:t>с</w:t>
      </w:r>
      <w:proofErr w:type="gramEnd"/>
      <w:r w:rsidRPr="005719BB">
        <w:rPr>
          <w:sz w:val="28"/>
          <w:szCs w:val="28"/>
        </w:rPr>
        <w:t>:</w:t>
      </w:r>
    </w:p>
    <w:p w:rsidR="0066196A" w:rsidRPr="005719BB" w:rsidRDefault="0066196A" w:rsidP="0066196A">
      <w:pPr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  <w:t> утверждением размера межбюджетных трансфертов из областного бюджета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ОМС (далее – иной межбюджетный трансферт);</w:t>
      </w:r>
    </w:p>
    <w:p w:rsidR="0066196A" w:rsidRPr="005719BB" w:rsidRDefault="0066196A" w:rsidP="0066196A">
      <w:pPr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  <w:t> увеличением расходов на реализацию территориальной программы ОМС за счет средств неналоговых доходов;</w:t>
      </w:r>
    </w:p>
    <w:p w:rsidR="00705F53" w:rsidRPr="005719BB" w:rsidRDefault="00705F53" w:rsidP="00705F53">
      <w:pPr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  <w:t> у</w:t>
      </w:r>
      <w:r w:rsidR="00FC6FC2" w:rsidRPr="005719BB">
        <w:rPr>
          <w:sz w:val="28"/>
          <w:szCs w:val="28"/>
        </w:rPr>
        <w:t xml:space="preserve">величением расходов в рамках </w:t>
      </w:r>
      <w:r w:rsidRPr="005719BB">
        <w:rPr>
          <w:sz w:val="28"/>
          <w:szCs w:val="28"/>
        </w:rPr>
        <w:t xml:space="preserve">территориальной программы </w:t>
      </w:r>
      <w:r w:rsidR="00FC6FC2" w:rsidRPr="005719BB">
        <w:rPr>
          <w:sz w:val="28"/>
          <w:szCs w:val="28"/>
        </w:rPr>
        <w:t>ОМС на оплату медицинской помощи, оказанной на территории Ярославской области, за счет умен</w:t>
      </w:r>
      <w:r w:rsidRPr="005719BB">
        <w:rPr>
          <w:sz w:val="28"/>
          <w:szCs w:val="28"/>
        </w:rPr>
        <w:t>ьшения расчетов с другими территориальными фондами ОМС;</w:t>
      </w:r>
    </w:p>
    <w:p w:rsidR="0066196A" w:rsidRPr="005719BB" w:rsidRDefault="0066196A" w:rsidP="0066196A">
      <w:pPr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  <w:t> перераспределением бюджетных ассигнований на обеспечение деятельности Фонда между видами расходов;</w:t>
      </w:r>
    </w:p>
    <w:p w:rsidR="0066196A" w:rsidRPr="005719BB" w:rsidRDefault="0066196A" w:rsidP="0066196A">
      <w:pPr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  <w:t> отражением поступлений в бюджет Фонда неналоговых доходов с учетом возврата сре</w:t>
      </w:r>
      <w:proofErr w:type="gramStart"/>
      <w:r w:rsidRPr="005719BB">
        <w:rPr>
          <w:sz w:val="28"/>
          <w:szCs w:val="28"/>
        </w:rPr>
        <w:t>дств в б</w:t>
      </w:r>
      <w:proofErr w:type="gramEnd"/>
      <w:r w:rsidRPr="005719BB">
        <w:rPr>
          <w:sz w:val="28"/>
          <w:szCs w:val="28"/>
        </w:rPr>
        <w:t>юджет Федерального фонда обязательного медицинского страхования (далее – ФОМС).</w:t>
      </w:r>
    </w:p>
    <w:p w:rsidR="0066196A" w:rsidRPr="005719BB" w:rsidRDefault="0066196A" w:rsidP="0066196A">
      <w:pPr>
        <w:pStyle w:val="1"/>
        <w:spacing w:before="0" w:after="0"/>
        <w:ind w:firstLine="709"/>
        <w:jc w:val="both"/>
      </w:pPr>
      <w:r w:rsidRPr="005719BB">
        <w:rPr>
          <w:sz w:val="28"/>
          <w:szCs w:val="28"/>
        </w:rPr>
        <w:t>Объем доходов в 2021 году составит 18 419 123,1 тыс. рублей, объем расходов – 18 513</w:t>
      </w:r>
      <w:r w:rsidRPr="005719BB">
        <w:rPr>
          <w:sz w:val="28"/>
          <w:szCs w:val="28"/>
          <w:lang w:val="en-US"/>
        </w:rPr>
        <w:t> </w:t>
      </w:r>
      <w:r w:rsidRPr="005719BB">
        <w:rPr>
          <w:sz w:val="28"/>
          <w:szCs w:val="28"/>
        </w:rPr>
        <w:t>865,9 тыс. рублей, превышение расходов над доходами –94 742,8 тыс. рублей. Источником финансирования дефицита являются остатки средств бюджета Фонда по состоянию на 01.01.2021.</w:t>
      </w:r>
    </w:p>
    <w:p w:rsidR="0066196A" w:rsidRPr="005719BB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5719BB" w:rsidRDefault="0066196A" w:rsidP="00D426FE">
      <w:pPr>
        <w:pStyle w:val="31"/>
        <w:rPr>
          <w:b w:val="0"/>
        </w:rPr>
      </w:pPr>
      <w:r w:rsidRPr="005719BB">
        <w:rPr>
          <w:b w:val="0"/>
        </w:rPr>
        <w:t>Доходы</w:t>
      </w:r>
    </w:p>
    <w:p w:rsidR="0066196A" w:rsidRPr="005719BB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5719BB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>Общий объем доходов бюджета Фонда на 2021 год увеличивается на сумму 426 012,1 тыс. рублей и составит 18 419 123,1 тыс. рублей.</w:t>
      </w:r>
    </w:p>
    <w:p w:rsidR="0066196A" w:rsidRPr="005719BB" w:rsidRDefault="0066196A" w:rsidP="0066196A">
      <w:pPr>
        <w:pStyle w:val="1"/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 xml:space="preserve">Изменение доходной части бюджета Фонда связано </w:t>
      </w:r>
      <w:proofErr w:type="gramStart"/>
      <w:r w:rsidRPr="005719BB">
        <w:rPr>
          <w:sz w:val="28"/>
          <w:szCs w:val="28"/>
        </w:rPr>
        <w:t>с</w:t>
      </w:r>
      <w:proofErr w:type="gramEnd"/>
      <w:r w:rsidRPr="005719BB">
        <w:rPr>
          <w:sz w:val="28"/>
          <w:szCs w:val="28"/>
        </w:rPr>
        <w:t>:</w:t>
      </w:r>
    </w:p>
    <w:p w:rsidR="0066196A" w:rsidRPr="005719BB" w:rsidRDefault="0066196A" w:rsidP="0066196A">
      <w:pPr>
        <w:widowControl w:val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>1) утверждением распоряжением Правительства Российской Федерации от 13.02.2021 № 348-р размера иного межбюджетного трансферта в сумме 426 012,0 тыс. рублей.</w:t>
      </w:r>
      <w:r w:rsidR="00D426FE">
        <w:rPr>
          <w:sz w:val="28"/>
          <w:szCs w:val="28"/>
        </w:rPr>
        <w:t xml:space="preserve"> </w:t>
      </w:r>
      <w:proofErr w:type="gramStart"/>
      <w:r w:rsidRPr="005719BB">
        <w:rPr>
          <w:sz w:val="28"/>
          <w:szCs w:val="28"/>
        </w:rPr>
        <w:t xml:space="preserve">Средства иного межбюджетного трансферта предоставляются из резервного фонда Правительства Российской Федерации в рамках реализации постановления Правительства Российской Федерации от 11.02.2021 № 163 в порядке, утвержденном постановлением </w:t>
      </w:r>
      <w:r w:rsidRPr="005719BB">
        <w:rPr>
          <w:sz w:val="28"/>
          <w:szCs w:val="28"/>
        </w:rPr>
        <w:lastRenderedPageBreak/>
        <w:t>Правительства Ярославской области от 02.04.2021 № 186-п, на основании соглашения о предоставлении из областного бюджета бюджету Фонда иного межбюджетного трансферта, заключенного между департаментом здравоохранения и фармации Ярославской области и Фондом;</w:t>
      </w:r>
      <w:proofErr w:type="gramEnd"/>
    </w:p>
    <w:p w:rsidR="0066196A" w:rsidRPr="005719BB" w:rsidRDefault="0066196A" w:rsidP="0066196A">
      <w:pPr>
        <w:widowControl w:val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>2) увеличением на 0,1 тыс. рублей поступлений штрафов, неустоек, пеней, уплаченных в случае просрочки исполнения поставщиком (подрядчиком, исполнителем) обязательств, предусмотренных государственным</w:t>
      </w:r>
      <w:r w:rsidRPr="005719BB">
        <w:rPr>
          <w:bCs/>
          <w:iCs/>
          <w:sz w:val="28"/>
          <w:szCs w:val="28"/>
        </w:rPr>
        <w:t xml:space="preserve"> контрактом, заключенным с Фондом; средства</w:t>
      </w:r>
      <w:r w:rsidRPr="005719BB">
        <w:rPr>
          <w:sz w:val="28"/>
          <w:szCs w:val="28"/>
        </w:rPr>
        <w:t xml:space="preserve"> направляются на реализацию территориальной программы ОМС.</w:t>
      </w:r>
    </w:p>
    <w:p w:rsidR="0066196A" w:rsidRPr="005719BB" w:rsidRDefault="0066196A" w:rsidP="0066196A">
      <w:pPr>
        <w:pStyle w:val="31"/>
        <w:ind w:firstLine="709"/>
        <w:jc w:val="both"/>
        <w:rPr>
          <w:b w:val="0"/>
        </w:rPr>
      </w:pPr>
      <w:r w:rsidRPr="005719BB">
        <w:rPr>
          <w:b w:val="0"/>
          <w:bCs w:val="0"/>
          <w:szCs w:val="28"/>
        </w:rPr>
        <w:t>По факту поступления по состоянию на 01.06.2021 отражены доходы бюджета Фонда, подлежащие возврату в бюджет ФОМС. Возврат средств отражен в доходной части бюджета Фонда со знаком «ми</w:t>
      </w:r>
      <w:r w:rsidRPr="005719BB">
        <w:rPr>
          <w:b w:val="0"/>
          <w:bCs w:val="0"/>
        </w:rPr>
        <w:t>нус».</w:t>
      </w:r>
    </w:p>
    <w:p w:rsidR="0066196A" w:rsidRPr="005719BB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5719BB" w:rsidRDefault="0066196A" w:rsidP="00A846D0">
      <w:pPr>
        <w:pStyle w:val="31"/>
        <w:rPr>
          <w:b w:val="0"/>
        </w:rPr>
      </w:pPr>
      <w:r w:rsidRPr="005719BB">
        <w:rPr>
          <w:b w:val="0"/>
        </w:rPr>
        <w:t>Расходы</w:t>
      </w:r>
    </w:p>
    <w:p w:rsidR="0066196A" w:rsidRPr="005719BB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5719BB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>Общий объем расходов бюджета Фонда на 2021 год увеличивается на сумму 426 012,1 тыс. рублей и составит 18 513 865,9 тыс. рублей.</w:t>
      </w:r>
    </w:p>
    <w:p w:rsidR="0066196A" w:rsidRPr="005719BB" w:rsidRDefault="0086178B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>1</w:t>
      </w:r>
      <w:r w:rsidR="00A846D0">
        <w:rPr>
          <w:sz w:val="28"/>
          <w:szCs w:val="28"/>
        </w:rPr>
        <w:t>.</w:t>
      </w:r>
      <w:r w:rsidRPr="005719BB">
        <w:rPr>
          <w:sz w:val="28"/>
          <w:szCs w:val="28"/>
        </w:rPr>
        <w:t> </w:t>
      </w:r>
      <w:r w:rsidR="0066196A" w:rsidRPr="005719BB">
        <w:rPr>
          <w:sz w:val="28"/>
          <w:szCs w:val="28"/>
        </w:rPr>
        <w:t>Расходы на территориальную программу ОМС в рамках базовой программы ОМС увеличиваются на 426 012,1 тыс. рублей, из них:</w:t>
      </w:r>
    </w:p>
    <w:p w:rsidR="0066196A" w:rsidRPr="005719BB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  <w:t> за счет средств иного межбюджетного трансферта из областного бюджета в сумме 426 012,0 тыс. рублей;</w:t>
      </w:r>
    </w:p>
    <w:p w:rsidR="0066196A" w:rsidRPr="005719BB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  <w:t xml:space="preserve"> на 0,1 тыс. рублей за счет средств неналоговых доходов, направляемых на территориальную программу ОМС. </w:t>
      </w:r>
    </w:p>
    <w:p w:rsidR="0066196A" w:rsidRPr="005719BB" w:rsidRDefault="00FC6FC2" w:rsidP="0066196A">
      <w:pPr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t>2</w:t>
      </w:r>
      <w:r w:rsidR="00A846D0">
        <w:rPr>
          <w:sz w:val="28"/>
          <w:szCs w:val="28"/>
        </w:rPr>
        <w:t>.</w:t>
      </w:r>
      <w:r w:rsidRPr="005719BB">
        <w:rPr>
          <w:sz w:val="28"/>
          <w:szCs w:val="28"/>
        </w:rPr>
        <w:t> </w:t>
      </w:r>
      <w:proofErr w:type="gramStart"/>
      <w:r w:rsidR="0066196A" w:rsidRPr="005719BB">
        <w:rPr>
          <w:sz w:val="28"/>
          <w:szCs w:val="28"/>
        </w:rPr>
        <w:t xml:space="preserve">В связи с </w:t>
      </w:r>
      <w:r w:rsidR="008F1E18">
        <w:rPr>
          <w:sz w:val="28"/>
          <w:szCs w:val="28"/>
        </w:rPr>
        <w:t>дефицитом территориальной программы ОМС</w:t>
      </w:r>
      <w:r w:rsidR="0066196A" w:rsidRPr="005719BB">
        <w:rPr>
          <w:sz w:val="28"/>
          <w:szCs w:val="28"/>
        </w:rPr>
        <w:t xml:space="preserve"> в п</w:t>
      </w:r>
      <w:r w:rsidR="0066196A" w:rsidRPr="005719BB">
        <w:rPr>
          <w:rFonts w:eastAsia="Calibri"/>
          <w:sz w:val="28"/>
          <w:szCs w:val="28"/>
        </w:rPr>
        <w:t xml:space="preserve">роекте закона </w:t>
      </w:r>
      <w:r w:rsidR="006253A7">
        <w:rPr>
          <w:rFonts w:eastAsia="Calibri"/>
          <w:sz w:val="28"/>
          <w:szCs w:val="28"/>
        </w:rPr>
        <w:t xml:space="preserve">предлагается </w:t>
      </w:r>
      <w:r w:rsidR="00595750">
        <w:rPr>
          <w:rFonts w:eastAsia="Calibri"/>
          <w:sz w:val="28"/>
          <w:szCs w:val="28"/>
        </w:rPr>
        <w:t>у</w:t>
      </w:r>
      <w:r w:rsidR="00595750" w:rsidRPr="005719BB">
        <w:rPr>
          <w:sz w:val="28"/>
          <w:szCs w:val="28"/>
        </w:rPr>
        <w:t>велич</w:t>
      </w:r>
      <w:r w:rsidR="00595750">
        <w:rPr>
          <w:sz w:val="28"/>
          <w:szCs w:val="28"/>
        </w:rPr>
        <w:t>ить</w:t>
      </w:r>
      <w:r w:rsidR="0066196A" w:rsidRPr="005719BB">
        <w:rPr>
          <w:sz w:val="28"/>
          <w:szCs w:val="28"/>
        </w:rPr>
        <w:t xml:space="preserve"> на 209 712,1 тыс. рублей расходы Фонда по перечислению средств страховым медицинским организациям для оплаты медицинской помощи</w:t>
      </w:r>
      <w:r w:rsidR="006253A7">
        <w:rPr>
          <w:sz w:val="28"/>
          <w:szCs w:val="28"/>
        </w:rPr>
        <w:t xml:space="preserve"> медицинским организациям</w:t>
      </w:r>
      <w:r w:rsidR="0066196A" w:rsidRPr="005719BB">
        <w:rPr>
          <w:sz w:val="28"/>
          <w:szCs w:val="28"/>
        </w:rPr>
        <w:t xml:space="preserve"> за счет уменьшения на 209 712,1 тыс. рублей расходов Фонда по оплате другим территориальным фондам ОМС медицинской помощи, оказанной за пределами Ярославской области лицам, застрахованным на территории Ярославской области</w:t>
      </w:r>
      <w:proofErr w:type="gramEnd"/>
      <w:r w:rsidR="006253A7">
        <w:rPr>
          <w:sz w:val="28"/>
          <w:szCs w:val="28"/>
        </w:rPr>
        <w:t xml:space="preserve"> (далее – межтерриториальные расчеты)</w:t>
      </w:r>
      <w:r w:rsidR="0066196A" w:rsidRPr="005719BB">
        <w:rPr>
          <w:sz w:val="28"/>
          <w:szCs w:val="28"/>
        </w:rPr>
        <w:t>.</w:t>
      </w:r>
    </w:p>
    <w:p w:rsidR="00FC6FC2" w:rsidRPr="005719BB" w:rsidRDefault="00FC6FC2" w:rsidP="005F7DEE">
      <w:pPr>
        <w:pStyle w:val="Heading"/>
        <w:tabs>
          <w:tab w:val="left" w:pos="708"/>
          <w:tab w:val="right" w:pos="9637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Снижение</w:t>
      </w:r>
      <w:r w:rsidR="005F7DEE"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запланированного на 2021 год объема 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финансового обеспечения </w:t>
      </w:r>
      <w:r w:rsidR="005F7DEE"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медицинской помощи, оказанной застрахованным лицам Ярославской области на территории других субъектов Российской Федерации, от 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утвержденного</w:t>
      </w:r>
      <w:r w:rsidR="005F7DEE"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объема произошло по 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двум </w:t>
      </w:r>
      <w:r w:rsidR="005F7DEE"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причин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ам:</w:t>
      </w:r>
    </w:p>
    <w:p w:rsidR="00FC6FC2" w:rsidRPr="005719BB" w:rsidRDefault="00FC6FC2" w:rsidP="005F7DEE">
      <w:pPr>
        <w:pStyle w:val="Heading"/>
        <w:tabs>
          <w:tab w:val="left" w:pos="708"/>
          <w:tab w:val="right" w:pos="9637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719BB">
        <w:rPr>
          <w:sz w:val="28"/>
          <w:szCs w:val="28"/>
        </w:rPr>
        <w:noBreakHyphen/>
        <w:t> </w:t>
      </w:r>
      <w:r w:rsidR="006253A7" w:rsidRPr="006253A7">
        <w:rPr>
          <w:rFonts w:ascii="Times New Roman" w:hAnsi="Times New Roman" w:cs="Times New Roman"/>
          <w:b w:val="0"/>
          <w:color w:val="000000"/>
          <w:sz w:val="28"/>
          <w:szCs w:val="28"/>
        </w:rPr>
        <w:t>принятие</w:t>
      </w:r>
      <w:r w:rsidR="006253A7">
        <w:rPr>
          <w:sz w:val="28"/>
          <w:szCs w:val="28"/>
        </w:rPr>
        <w:t xml:space="preserve"> 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мер по увеличению объемов медицинской помощи</w:t>
      </w:r>
      <w:r w:rsidR="006253A7">
        <w:rPr>
          <w:rFonts w:ascii="Times New Roman" w:hAnsi="Times New Roman" w:cs="Times New Roman"/>
          <w:b w:val="0"/>
          <w:color w:val="000000"/>
          <w:sz w:val="28"/>
          <w:szCs w:val="28"/>
        </w:rPr>
        <w:t>, в том числе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 профилю «офтальмология»</w:t>
      </w:r>
      <w:r w:rsidR="006253A7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5F7DEE"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медицинским организациям</w:t>
      </w:r>
      <w:r w:rsidR="006253A7">
        <w:rPr>
          <w:rFonts w:ascii="Times New Roman" w:hAnsi="Times New Roman" w:cs="Times New Roman"/>
          <w:b w:val="0"/>
          <w:color w:val="000000"/>
          <w:sz w:val="28"/>
          <w:szCs w:val="28"/>
        </w:rPr>
        <w:t>, участвующим в реализации территориальной программы ОМС</w:t>
      </w:r>
      <w:r w:rsidR="006253A7" w:rsidRPr="006253A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253A7"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Ярославской области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FC6FC2" w:rsidRPr="005719BB" w:rsidRDefault="00FC6FC2" w:rsidP="005F7DEE">
      <w:pPr>
        <w:pStyle w:val="Heading"/>
        <w:tabs>
          <w:tab w:val="left" w:pos="708"/>
          <w:tab w:val="right" w:pos="9637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719BB">
        <w:rPr>
          <w:sz w:val="28"/>
          <w:szCs w:val="28"/>
        </w:rPr>
        <w:noBreakHyphen/>
        <w:t> </w:t>
      </w:r>
      <w:r w:rsidR="005F7DEE"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перевод финансового обеспечения федеральных клиник на федеральный уровень. </w:t>
      </w:r>
    </w:p>
    <w:p w:rsidR="005F7DEE" w:rsidRPr="005719BB" w:rsidRDefault="006253A7" w:rsidP="005F7DEE">
      <w:pPr>
        <w:pStyle w:val="Heading"/>
        <w:tabs>
          <w:tab w:val="left" w:pos="708"/>
          <w:tab w:val="right" w:pos="9637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Прогнозная с</w:t>
      </w:r>
      <w:r w:rsidR="005F7DEE"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>умма экономии размера финансового обеспечения составит в 2021 году 209 712,1 тыс. рублей.</w:t>
      </w:r>
    </w:p>
    <w:p w:rsidR="005F7DEE" w:rsidRPr="005719BB" w:rsidRDefault="005F7DEE" w:rsidP="005F7DEE">
      <w:pPr>
        <w:pStyle w:val="Heading"/>
        <w:tabs>
          <w:tab w:val="left" w:pos="708"/>
          <w:tab w:val="right" w:pos="9637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Данные средства необходимы </w:t>
      </w:r>
      <w:r w:rsidR="006253A7">
        <w:rPr>
          <w:rFonts w:ascii="Times New Roman" w:hAnsi="Times New Roman" w:cs="Times New Roman"/>
          <w:b w:val="0"/>
          <w:color w:val="000000"/>
          <w:sz w:val="28"/>
          <w:szCs w:val="28"/>
        </w:rPr>
        <w:t>для финансового обеспечения медицинской помощи медицинских организаций Ярославской области, в том числе</w:t>
      </w:r>
      <w:r w:rsidRPr="005719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высокотехнологичной медицинской помощи по профилю «травматология и ортопедия».</w:t>
      </w:r>
    </w:p>
    <w:p w:rsidR="0066196A" w:rsidRPr="005719BB" w:rsidRDefault="00FC6FC2" w:rsidP="0066196A">
      <w:pPr>
        <w:ind w:firstLine="709"/>
        <w:jc w:val="both"/>
        <w:rPr>
          <w:bCs/>
          <w:sz w:val="28"/>
          <w:szCs w:val="28"/>
          <w:shd w:val="clear" w:color="auto" w:fill="FF3333"/>
        </w:rPr>
      </w:pPr>
      <w:r w:rsidRPr="005719BB">
        <w:rPr>
          <w:bCs/>
          <w:sz w:val="28"/>
          <w:szCs w:val="28"/>
        </w:rPr>
        <w:t>3</w:t>
      </w:r>
      <w:r w:rsidR="00A846D0">
        <w:rPr>
          <w:bCs/>
          <w:sz w:val="28"/>
          <w:szCs w:val="28"/>
        </w:rPr>
        <w:t>.</w:t>
      </w:r>
      <w:r w:rsidRPr="005719BB">
        <w:rPr>
          <w:bCs/>
          <w:sz w:val="28"/>
          <w:szCs w:val="28"/>
        </w:rPr>
        <w:t> </w:t>
      </w:r>
      <w:r w:rsidR="0066196A" w:rsidRPr="005719BB">
        <w:rPr>
          <w:bCs/>
          <w:sz w:val="28"/>
          <w:szCs w:val="28"/>
        </w:rPr>
        <w:t>Согласно изменениям, внесенным</w:t>
      </w:r>
      <w:r w:rsidR="0066196A" w:rsidRPr="005719BB">
        <w:rPr>
          <w:sz w:val="28"/>
          <w:szCs w:val="28"/>
        </w:rPr>
        <w:t xml:space="preserve"> в Федеральный закон от</w:t>
      </w:r>
      <w:r w:rsidR="00A846D0">
        <w:rPr>
          <w:sz w:val="28"/>
          <w:szCs w:val="28"/>
        </w:rPr>
        <w:t> </w:t>
      </w:r>
      <w:r w:rsidR="0066196A" w:rsidRPr="005719BB">
        <w:rPr>
          <w:sz w:val="28"/>
          <w:szCs w:val="28"/>
        </w:rPr>
        <w:t xml:space="preserve">29.11.2010 № 326-ФЗ «Об обязательном медицинском страховании в Российской Федерации» (далее – Федеральный закон № 326-ФЗ), </w:t>
      </w:r>
      <w:r w:rsidR="0066196A" w:rsidRPr="005719BB">
        <w:rPr>
          <w:bCs/>
          <w:sz w:val="28"/>
          <w:szCs w:val="28"/>
        </w:rPr>
        <w:t>территориальным фондам ОМС переданы функции по проведению ежемесячного медико-экономического контроля реестров счетов медицинской помощи, оказанной медицинскими организациями, участвующими в реализации территориальной программы ОМС. В</w:t>
      </w:r>
      <w:r w:rsidR="00A846D0">
        <w:rPr>
          <w:bCs/>
          <w:sz w:val="28"/>
          <w:szCs w:val="28"/>
        </w:rPr>
        <w:t> </w:t>
      </w:r>
      <w:r w:rsidR="0066196A" w:rsidRPr="005719BB">
        <w:rPr>
          <w:bCs/>
          <w:sz w:val="28"/>
          <w:szCs w:val="28"/>
        </w:rPr>
        <w:t>соответствии с пунктом 8 части 2 статьи 7 Федерального закона № 326-ФЗ ФОМС согласованы изменения в структуру Фонда (письмо ФОМС от</w:t>
      </w:r>
      <w:r w:rsidR="00A846D0">
        <w:rPr>
          <w:bCs/>
          <w:sz w:val="28"/>
          <w:szCs w:val="28"/>
        </w:rPr>
        <w:t> </w:t>
      </w:r>
      <w:r w:rsidR="0066196A" w:rsidRPr="005719BB">
        <w:rPr>
          <w:bCs/>
          <w:sz w:val="28"/>
          <w:szCs w:val="28"/>
        </w:rPr>
        <w:t xml:space="preserve">15.03.2021 № 00-10-60-06/1350). Указом Губернатора Ярославской области от 26.04.2021 № 106 утверждены изменения в структуру, предельную численность и фонд оплаты труда Фонда. Для решения поставленных задач штатная численность увеличена на 10 единиц и составляет 133 единицы. Данные изменения не превышают нормативную штатную численность, определяемую </w:t>
      </w:r>
      <w:proofErr w:type="gramStart"/>
      <w:r w:rsidR="0066196A" w:rsidRPr="005719BB">
        <w:rPr>
          <w:bCs/>
          <w:sz w:val="28"/>
          <w:szCs w:val="28"/>
        </w:rPr>
        <w:t>согласно</w:t>
      </w:r>
      <w:proofErr w:type="gramEnd"/>
      <w:r w:rsidR="0066196A" w:rsidRPr="005719BB">
        <w:rPr>
          <w:bCs/>
          <w:sz w:val="28"/>
          <w:szCs w:val="28"/>
        </w:rPr>
        <w:t xml:space="preserve"> методических указаний ФОМС от 15.03.2013 в количестве 142 единиц.</w:t>
      </w:r>
    </w:p>
    <w:p w:rsidR="0066196A" w:rsidRPr="005719BB" w:rsidRDefault="00F81E98" w:rsidP="0066196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основании</w:t>
      </w:r>
      <w:r w:rsidR="0066196A" w:rsidRPr="005719BB">
        <w:rPr>
          <w:bCs/>
          <w:sz w:val="28"/>
          <w:szCs w:val="28"/>
        </w:rPr>
        <w:t xml:space="preserve"> выше</w:t>
      </w:r>
      <w:r w:rsidR="00A846D0">
        <w:rPr>
          <w:bCs/>
          <w:sz w:val="28"/>
          <w:szCs w:val="28"/>
        </w:rPr>
        <w:t>изложенн</w:t>
      </w:r>
      <w:r>
        <w:rPr>
          <w:bCs/>
          <w:sz w:val="28"/>
          <w:szCs w:val="28"/>
        </w:rPr>
        <w:t>ого</w:t>
      </w:r>
      <w:r w:rsidR="0066196A" w:rsidRPr="005719BB">
        <w:rPr>
          <w:bCs/>
          <w:sz w:val="28"/>
          <w:szCs w:val="28"/>
        </w:rPr>
        <w:t>, в проекте закона отражено перераспределение бюджетных ассигнований на обеспечение деятельности Фонда между видами расходов: увеличение фонда оплаты труда с учетом начислений на заработную плату на 5 780,5 тыс. рублей за счет уменьшения объема закупок товаров, работ и услуг для нужд Фонда. Общий объем бюджетных ассигнований, предусмотренных на обеспечение деятельности Фонда, остается без изменений.</w:t>
      </w:r>
    </w:p>
    <w:p w:rsidR="0086178B" w:rsidRDefault="00FC6FC2" w:rsidP="001553EC">
      <w:pPr>
        <w:ind w:firstLine="709"/>
        <w:jc w:val="both"/>
        <w:rPr>
          <w:sz w:val="28"/>
          <w:szCs w:val="28"/>
        </w:rPr>
      </w:pPr>
      <w:r w:rsidRPr="005719BB">
        <w:rPr>
          <w:rFonts w:eastAsiaTheme="minorHAnsi"/>
          <w:sz w:val="28"/>
          <w:szCs w:val="28"/>
          <w:lang w:eastAsia="en-US"/>
        </w:rPr>
        <w:t>4</w:t>
      </w:r>
      <w:r w:rsidR="00F81E98">
        <w:rPr>
          <w:rFonts w:eastAsiaTheme="minorHAnsi"/>
          <w:sz w:val="28"/>
          <w:szCs w:val="28"/>
          <w:lang w:eastAsia="en-US"/>
        </w:rPr>
        <w:t>.</w:t>
      </w:r>
      <w:r w:rsidRPr="005719BB">
        <w:rPr>
          <w:rFonts w:eastAsiaTheme="minorHAnsi"/>
          <w:sz w:val="28"/>
          <w:szCs w:val="28"/>
          <w:lang w:eastAsia="en-US"/>
        </w:rPr>
        <w:t> </w:t>
      </w:r>
      <w:r w:rsidR="0086178B">
        <w:rPr>
          <w:rFonts w:eastAsiaTheme="minorHAnsi"/>
          <w:sz w:val="28"/>
          <w:szCs w:val="28"/>
          <w:lang w:eastAsia="en-US"/>
        </w:rPr>
        <w:t>О</w:t>
      </w:r>
      <w:r w:rsidR="0086178B" w:rsidRPr="005719BB">
        <w:rPr>
          <w:sz w:val="28"/>
          <w:szCs w:val="28"/>
        </w:rPr>
        <w:t xml:space="preserve">бщий размер </w:t>
      </w:r>
      <w:r w:rsidR="0032304D" w:rsidRPr="005719BB">
        <w:rPr>
          <w:rFonts w:eastAsiaTheme="minorHAnsi"/>
          <w:sz w:val="28"/>
          <w:szCs w:val="28"/>
          <w:lang w:eastAsia="en-US"/>
        </w:rPr>
        <w:t>нормированного страхового запаса Фонда (далее – НСЗ Фонда)</w:t>
      </w:r>
      <w:r w:rsidR="0032304D">
        <w:rPr>
          <w:rFonts w:eastAsiaTheme="minorHAnsi"/>
          <w:sz w:val="28"/>
          <w:szCs w:val="28"/>
          <w:lang w:eastAsia="en-US"/>
        </w:rPr>
        <w:t xml:space="preserve"> </w:t>
      </w:r>
      <w:r w:rsidR="0086178B" w:rsidRPr="005719BB">
        <w:rPr>
          <w:sz w:val="28"/>
          <w:szCs w:val="28"/>
        </w:rPr>
        <w:t>запланирован в сумме</w:t>
      </w:r>
      <w:r w:rsidR="0086178B" w:rsidRPr="005719BB">
        <w:rPr>
          <w:rFonts w:eastAsia="Calibri"/>
          <w:sz w:val="28"/>
          <w:szCs w:val="28"/>
        </w:rPr>
        <w:t xml:space="preserve"> 3</w:t>
      </w:r>
      <w:r w:rsidR="0086178B" w:rsidRPr="005719BB">
        <w:rPr>
          <w:rFonts w:eastAsia="Calibri"/>
          <w:sz w:val="28"/>
          <w:szCs w:val="28"/>
          <w:lang w:val="en-US"/>
        </w:rPr>
        <w:t> </w:t>
      </w:r>
      <w:r w:rsidR="0086178B" w:rsidRPr="005719BB">
        <w:rPr>
          <w:rFonts w:eastAsia="Calibri"/>
          <w:sz w:val="28"/>
          <w:szCs w:val="28"/>
        </w:rPr>
        <w:t>320 649,7 тыс. рублей</w:t>
      </w:r>
      <w:r w:rsidR="0086178B">
        <w:rPr>
          <w:rFonts w:eastAsia="Calibri"/>
          <w:sz w:val="28"/>
          <w:szCs w:val="28"/>
        </w:rPr>
        <w:t>. У</w:t>
      </w:r>
      <w:r w:rsidR="0086178B">
        <w:rPr>
          <w:sz w:val="28"/>
          <w:szCs w:val="28"/>
        </w:rPr>
        <w:t>величение на 324 439,3 тыс. рублей обусловлено:</w:t>
      </w:r>
    </w:p>
    <w:p w:rsidR="0086178B" w:rsidRDefault="0086178B" w:rsidP="0086178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noBreakHyphen/>
        <w:t xml:space="preserve"> увеличением </w:t>
      </w:r>
      <w:r w:rsidRPr="005719BB">
        <w:rPr>
          <w:sz w:val="28"/>
          <w:szCs w:val="28"/>
        </w:rPr>
        <w:t>размер</w:t>
      </w:r>
      <w:r>
        <w:rPr>
          <w:sz w:val="28"/>
          <w:szCs w:val="28"/>
        </w:rPr>
        <w:t>а</w:t>
      </w:r>
      <w:r w:rsidRPr="005719BB">
        <w:rPr>
          <w:sz w:val="28"/>
          <w:szCs w:val="28"/>
        </w:rPr>
        <w:t xml:space="preserve"> НСЗ Фонда </w:t>
      </w:r>
      <w:r w:rsidRPr="005719BB">
        <w:rPr>
          <w:rFonts w:eastAsiaTheme="minorHAnsi"/>
          <w:sz w:val="28"/>
          <w:szCs w:val="28"/>
          <w:lang w:eastAsia="en-US"/>
        </w:rPr>
        <w:t>для дополнительного финансового обеспечения реализации территориальн</w:t>
      </w:r>
      <w:r w:rsidR="00287DBE">
        <w:rPr>
          <w:rFonts w:eastAsiaTheme="minorHAnsi"/>
          <w:sz w:val="28"/>
          <w:szCs w:val="28"/>
          <w:lang w:eastAsia="en-US"/>
        </w:rPr>
        <w:t>ой</w:t>
      </w:r>
      <w:r w:rsidRPr="005719BB">
        <w:rPr>
          <w:rFonts w:eastAsiaTheme="minorHAnsi"/>
          <w:sz w:val="28"/>
          <w:szCs w:val="28"/>
          <w:lang w:eastAsia="en-US"/>
        </w:rPr>
        <w:t xml:space="preserve"> программ</w:t>
      </w:r>
      <w:r w:rsidR="00287DBE">
        <w:rPr>
          <w:rFonts w:eastAsiaTheme="minorHAnsi"/>
          <w:sz w:val="28"/>
          <w:szCs w:val="28"/>
          <w:lang w:eastAsia="en-US"/>
        </w:rPr>
        <w:t>ы</w:t>
      </w:r>
      <w:r w:rsidRPr="005719BB">
        <w:rPr>
          <w:rFonts w:eastAsiaTheme="minorHAnsi"/>
          <w:sz w:val="28"/>
          <w:szCs w:val="28"/>
          <w:lang w:eastAsia="en-US"/>
        </w:rPr>
        <w:t xml:space="preserve"> ОМС</w:t>
      </w:r>
      <w:r w:rsidRPr="005719B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719BB">
        <w:rPr>
          <w:sz w:val="28"/>
          <w:szCs w:val="28"/>
        </w:rPr>
        <w:t xml:space="preserve"> 534 151,4 тыс. рублей</w:t>
      </w:r>
      <w:r>
        <w:rPr>
          <w:sz w:val="28"/>
          <w:szCs w:val="28"/>
        </w:rPr>
        <w:t>.</w:t>
      </w:r>
      <w:r w:rsidR="00F81E98">
        <w:rPr>
          <w:sz w:val="28"/>
          <w:szCs w:val="28"/>
        </w:rPr>
        <w:t xml:space="preserve"> </w:t>
      </w:r>
      <w:r w:rsidR="0021576E">
        <w:rPr>
          <w:rFonts w:eastAsiaTheme="minorHAnsi"/>
          <w:sz w:val="28"/>
          <w:szCs w:val="28"/>
          <w:lang w:eastAsia="en-US"/>
        </w:rPr>
        <w:t>Согласно</w:t>
      </w:r>
      <w:r w:rsidRPr="005719BB">
        <w:rPr>
          <w:rFonts w:eastAsiaTheme="minorHAnsi"/>
          <w:sz w:val="28"/>
          <w:szCs w:val="28"/>
          <w:lang w:eastAsia="en-US"/>
        </w:rPr>
        <w:t xml:space="preserve"> ч</w:t>
      </w:r>
      <w:r w:rsidR="00F81E98">
        <w:rPr>
          <w:rFonts w:eastAsiaTheme="minorHAnsi"/>
          <w:sz w:val="28"/>
          <w:szCs w:val="28"/>
          <w:lang w:eastAsia="en-US"/>
        </w:rPr>
        <w:t>асти</w:t>
      </w:r>
      <w:r w:rsidRPr="005719BB">
        <w:rPr>
          <w:rFonts w:eastAsiaTheme="minorHAnsi"/>
          <w:sz w:val="28"/>
          <w:szCs w:val="28"/>
          <w:lang w:eastAsia="en-US"/>
        </w:rPr>
        <w:t xml:space="preserve"> 6.4 статьи 26 </w:t>
      </w:r>
      <w:r w:rsidRPr="005719BB">
        <w:rPr>
          <w:sz w:val="28"/>
          <w:szCs w:val="28"/>
        </w:rPr>
        <w:t>Федерального закона № 326-ФЗ</w:t>
      </w:r>
      <w:r w:rsidRPr="005719BB">
        <w:rPr>
          <w:rFonts w:eastAsiaTheme="minorHAnsi"/>
          <w:sz w:val="28"/>
          <w:szCs w:val="28"/>
          <w:lang w:eastAsia="en-US"/>
        </w:rPr>
        <w:t xml:space="preserve"> размер средств НСЗ Фонда для дополнительного финансового обеспечения реализации территориальных программ ОМС не должен превышать среднемесячный размер планируемых поступлений сре</w:t>
      </w:r>
      <w:proofErr w:type="gramStart"/>
      <w:r w:rsidRPr="005719BB">
        <w:rPr>
          <w:rFonts w:eastAsiaTheme="minorHAnsi"/>
          <w:sz w:val="28"/>
          <w:szCs w:val="28"/>
          <w:lang w:eastAsia="en-US"/>
        </w:rPr>
        <w:t>дств в б</w:t>
      </w:r>
      <w:proofErr w:type="gramEnd"/>
      <w:r w:rsidRPr="005719BB">
        <w:rPr>
          <w:rFonts w:eastAsiaTheme="minorHAnsi"/>
          <w:sz w:val="28"/>
          <w:szCs w:val="28"/>
          <w:lang w:eastAsia="en-US"/>
        </w:rPr>
        <w:t xml:space="preserve">юджет Фонда на очередной год, который составляет 1 534 926,9 тыс. рублей. </w:t>
      </w:r>
      <w:proofErr w:type="gramStart"/>
      <w:r w:rsidR="0021576E">
        <w:rPr>
          <w:rFonts w:eastAsiaTheme="minorHAnsi"/>
          <w:sz w:val="28"/>
          <w:szCs w:val="28"/>
          <w:lang w:eastAsia="en-US"/>
        </w:rPr>
        <w:t>В</w:t>
      </w:r>
      <w:r w:rsidR="00F81E98">
        <w:rPr>
          <w:rFonts w:eastAsiaTheme="minorHAnsi"/>
          <w:sz w:val="28"/>
          <w:szCs w:val="28"/>
          <w:lang w:eastAsia="en-US"/>
        </w:rPr>
        <w:t> </w:t>
      </w:r>
      <w:r w:rsidRPr="005719BB">
        <w:rPr>
          <w:rFonts w:eastAsiaTheme="minorHAnsi"/>
          <w:sz w:val="28"/>
          <w:szCs w:val="28"/>
          <w:lang w:eastAsia="en-US"/>
        </w:rPr>
        <w:t xml:space="preserve">соответствии с указанной нормой и </w:t>
      </w:r>
      <w:r w:rsidRPr="005719BB">
        <w:rPr>
          <w:sz w:val="28"/>
          <w:szCs w:val="28"/>
        </w:rPr>
        <w:t xml:space="preserve">в связи с распространением заболеваний новой коронавирусной инфекцией </w:t>
      </w:r>
      <w:r w:rsidR="0021576E">
        <w:rPr>
          <w:sz w:val="28"/>
          <w:szCs w:val="28"/>
        </w:rPr>
        <w:t xml:space="preserve">средства </w:t>
      </w:r>
      <w:r w:rsidR="0021576E">
        <w:rPr>
          <w:rFonts w:eastAsiaTheme="minorHAnsi"/>
          <w:sz w:val="28"/>
          <w:szCs w:val="28"/>
          <w:lang w:eastAsia="en-US"/>
        </w:rPr>
        <w:t xml:space="preserve">в сумме </w:t>
      </w:r>
      <w:r w:rsidRPr="005719BB">
        <w:rPr>
          <w:sz w:val="28"/>
          <w:szCs w:val="28"/>
        </w:rPr>
        <w:t>534 151,4 тыс. рублей</w:t>
      </w:r>
      <w:r w:rsidR="0021576E">
        <w:rPr>
          <w:sz w:val="28"/>
          <w:szCs w:val="28"/>
        </w:rPr>
        <w:t xml:space="preserve"> будут направлены на погашение задолженности страховых медицинских организаций перед медицинскими организациями, сложившейся в связи с дефицитом средств ОМС на финансовое обеспечение территориальной программы ОМС, в том числе в рамках завершения расчетов за 2020 год</w:t>
      </w:r>
      <w:r w:rsidR="00C2792B">
        <w:rPr>
          <w:sz w:val="28"/>
          <w:szCs w:val="28"/>
        </w:rPr>
        <w:t>;</w:t>
      </w:r>
      <w:proofErr w:type="gramEnd"/>
    </w:p>
    <w:p w:rsidR="0086178B" w:rsidRDefault="0086178B" w:rsidP="0086178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noBreakHyphen/>
      </w:r>
      <w:r w:rsidRPr="005719BB">
        <w:rPr>
          <w:rFonts w:eastAsia="Calibri"/>
          <w:sz w:val="28"/>
          <w:szCs w:val="28"/>
        </w:rPr>
        <w:t> уменьшени</w:t>
      </w:r>
      <w:r>
        <w:rPr>
          <w:rFonts w:eastAsia="Calibri"/>
          <w:sz w:val="28"/>
          <w:szCs w:val="28"/>
        </w:rPr>
        <w:t>ем</w:t>
      </w:r>
      <w:r w:rsidRPr="005719BB">
        <w:rPr>
          <w:rFonts w:eastAsia="Calibri"/>
          <w:sz w:val="28"/>
          <w:szCs w:val="28"/>
        </w:rPr>
        <w:t xml:space="preserve"> </w:t>
      </w:r>
      <w:r w:rsidRPr="005719BB">
        <w:rPr>
          <w:sz w:val="28"/>
          <w:szCs w:val="28"/>
        </w:rPr>
        <w:t>расходов Фонда по оплате другим территориальным фондам ОМС медицинской помощи, оказанной за пределами Ярославской области лицам, застрахованным на территории Ярославской области на 209 712,1 тыс. рублей</w:t>
      </w:r>
      <w:r w:rsidR="007E2737">
        <w:rPr>
          <w:sz w:val="28"/>
          <w:szCs w:val="28"/>
        </w:rPr>
        <w:t>.</w:t>
      </w:r>
    </w:p>
    <w:sectPr w:rsidR="0086178B" w:rsidSect="00C00854"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76C" w:rsidRDefault="0072176C" w:rsidP="0066196A">
      <w:r>
        <w:separator/>
      </w:r>
    </w:p>
  </w:endnote>
  <w:endnote w:type="continuationSeparator" w:id="0">
    <w:p w:rsidR="0072176C" w:rsidRDefault="0072176C" w:rsidP="0066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76C" w:rsidRDefault="0072176C" w:rsidP="0066196A">
      <w:r>
        <w:separator/>
      </w:r>
    </w:p>
  </w:footnote>
  <w:footnote w:type="continuationSeparator" w:id="0">
    <w:p w:rsidR="0072176C" w:rsidRDefault="0072176C" w:rsidP="00661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379679"/>
      <w:docPartObj>
        <w:docPartGallery w:val="Page Numbers (Top of Page)"/>
        <w:docPartUnique/>
      </w:docPartObj>
    </w:sdtPr>
    <w:sdtEndPr/>
    <w:sdtContent>
      <w:p w:rsidR="005F7DEE" w:rsidRDefault="005F7D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27A">
          <w:rPr>
            <w:noProof/>
          </w:rPr>
          <w:t>4</w:t>
        </w:r>
        <w:r>
          <w:fldChar w:fldCharType="end"/>
        </w:r>
      </w:p>
    </w:sdtContent>
  </w:sdt>
  <w:p w:rsidR="005F7DEE" w:rsidRDefault="005F7DE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E6F05"/>
    <w:multiLevelType w:val="hybridMultilevel"/>
    <w:tmpl w:val="B4C0D47E"/>
    <w:lvl w:ilvl="0" w:tplc="687AA89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C04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B8512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30B50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BCE3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BC939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810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8EA0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C4956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6A"/>
    <w:rsid w:val="000409C6"/>
    <w:rsid w:val="0004120B"/>
    <w:rsid w:val="0009716C"/>
    <w:rsid w:val="0013402A"/>
    <w:rsid w:val="001553EC"/>
    <w:rsid w:val="001E166F"/>
    <w:rsid w:val="0021576E"/>
    <w:rsid w:val="00287DBE"/>
    <w:rsid w:val="002C1DE9"/>
    <w:rsid w:val="0032304D"/>
    <w:rsid w:val="00323D89"/>
    <w:rsid w:val="00386BB2"/>
    <w:rsid w:val="00434EB5"/>
    <w:rsid w:val="0048197E"/>
    <w:rsid w:val="004B1347"/>
    <w:rsid w:val="00523741"/>
    <w:rsid w:val="005719BB"/>
    <w:rsid w:val="00595750"/>
    <w:rsid w:val="005F7DEE"/>
    <w:rsid w:val="006253A7"/>
    <w:rsid w:val="0066196A"/>
    <w:rsid w:val="00697E89"/>
    <w:rsid w:val="00705AFF"/>
    <w:rsid w:val="00705F53"/>
    <w:rsid w:val="0072176C"/>
    <w:rsid w:val="007E2737"/>
    <w:rsid w:val="0086178B"/>
    <w:rsid w:val="008724F8"/>
    <w:rsid w:val="008F1E18"/>
    <w:rsid w:val="009773B2"/>
    <w:rsid w:val="009C24B7"/>
    <w:rsid w:val="00A763E2"/>
    <w:rsid w:val="00A846D0"/>
    <w:rsid w:val="00B02ED0"/>
    <w:rsid w:val="00B75874"/>
    <w:rsid w:val="00BA227A"/>
    <w:rsid w:val="00C00854"/>
    <w:rsid w:val="00C2762E"/>
    <w:rsid w:val="00C2792B"/>
    <w:rsid w:val="00C479A0"/>
    <w:rsid w:val="00C97833"/>
    <w:rsid w:val="00D0055A"/>
    <w:rsid w:val="00D426FE"/>
    <w:rsid w:val="00D86067"/>
    <w:rsid w:val="00DF2A26"/>
    <w:rsid w:val="00EC07CC"/>
    <w:rsid w:val="00F81E98"/>
    <w:rsid w:val="00F85EA1"/>
    <w:rsid w:val="00FC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66196A"/>
    <w:pPr>
      <w:jc w:val="center"/>
    </w:pPr>
    <w:rPr>
      <w:b/>
      <w:bCs/>
      <w:sz w:val="28"/>
      <w:szCs w:val="20"/>
    </w:rPr>
  </w:style>
  <w:style w:type="character" w:customStyle="1" w:styleId="a5">
    <w:name w:val="Название Знак"/>
    <w:basedOn w:val="a0"/>
    <w:link w:val="a3"/>
    <w:rsid w:val="0066196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66196A"/>
    <w:pPr>
      <w:jc w:val="center"/>
    </w:pPr>
    <w:rPr>
      <w:b/>
      <w:bCs/>
      <w:sz w:val="28"/>
    </w:rPr>
  </w:style>
  <w:style w:type="paragraph" w:styleId="a6">
    <w:name w:val="header"/>
    <w:basedOn w:val="a"/>
    <w:link w:val="a7"/>
    <w:uiPriority w:val="99"/>
    <w:rsid w:val="0066196A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(веб)1"/>
    <w:basedOn w:val="a"/>
    <w:rsid w:val="0066196A"/>
    <w:pPr>
      <w:spacing w:before="100" w:after="100"/>
    </w:pPr>
  </w:style>
  <w:style w:type="paragraph" w:styleId="a4">
    <w:name w:val="Subtitle"/>
    <w:basedOn w:val="a"/>
    <w:next w:val="a"/>
    <w:link w:val="a8"/>
    <w:uiPriority w:val="11"/>
    <w:qFormat/>
    <w:rsid w:val="006619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4"/>
    <w:uiPriority w:val="11"/>
    <w:rsid w:val="006619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619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008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0854"/>
    <w:rPr>
      <w:rFonts w:ascii="Tahoma" w:eastAsia="Times New Roman" w:hAnsi="Tahoma" w:cs="Tahoma"/>
      <w:sz w:val="16"/>
      <w:szCs w:val="16"/>
      <w:lang w:eastAsia="ar-SA"/>
    </w:rPr>
  </w:style>
  <w:style w:type="paragraph" w:styleId="3">
    <w:name w:val="Body Text 3"/>
    <w:basedOn w:val="a"/>
    <w:link w:val="30"/>
    <w:semiHidden/>
    <w:unhideWhenUsed/>
    <w:rsid w:val="004B1347"/>
    <w:pPr>
      <w:suppressAutoHyphens w:val="0"/>
      <w:spacing w:after="120"/>
    </w:pPr>
    <w:rPr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4B134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Heading">
    <w:name w:val="Heading"/>
    <w:rsid w:val="005F7D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List Paragraph"/>
    <w:basedOn w:val="a"/>
    <w:uiPriority w:val="34"/>
    <w:qFormat/>
    <w:rsid w:val="00705F53"/>
    <w:pPr>
      <w:suppressAutoHyphens w:val="0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66196A"/>
    <w:pPr>
      <w:jc w:val="center"/>
    </w:pPr>
    <w:rPr>
      <w:b/>
      <w:bCs/>
      <w:sz w:val="28"/>
      <w:szCs w:val="20"/>
    </w:rPr>
  </w:style>
  <w:style w:type="character" w:customStyle="1" w:styleId="a5">
    <w:name w:val="Название Знак"/>
    <w:basedOn w:val="a0"/>
    <w:link w:val="a3"/>
    <w:rsid w:val="0066196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66196A"/>
    <w:pPr>
      <w:jc w:val="center"/>
    </w:pPr>
    <w:rPr>
      <w:b/>
      <w:bCs/>
      <w:sz w:val="28"/>
    </w:rPr>
  </w:style>
  <w:style w:type="paragraph" w:styleId="a6">
    <w:name w:val="header"/>
    <w:basedOn w:val="a"/>
    <w:link w:val="a7"/>
    <w:uiPriority w:val="99"/>
    <w:rsid w:val="0066196A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(веб)1"/>
    <w:basedOn w:val="a"/>
    <w:rsid w:val="0066196A"/>
    <w:pPr>
      <w:spacing w:before="100" w:after="100"/>
    </w:pPr>
  </w:style>
  <w:style w:type="paragraph" w:styleId="a4">
    <w:name w:val="Subtitle"/>
    <w:basedOn w:val="a"/>
    <w:next w:val="a"/>
    <w:link w:val="a8"/>
    <w:uiPriority w:val="11"/>
    <w:qFormat/>
    <w:rsid w:val="006619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4"/>
    <w:uiPriority w:val="11"/>
    <w:rsid w:val="006619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619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008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0854"/>
    <w:rPr>
      <w:rFonts w:ascii="Tahoma" w:eastAsia="Times New Roman" w:hAnsi="Tahoma" w:cs="Tahoma"/>
      <w:sz w:val="16"/>
      <w:szCs w:val="16"/>
      <w:lang w:eastAsia="ar-SA"/>
    </w:rPr>
  </w:style>
  <w:style w:type="paragraph" w:styleId="3">
    <w:name w:val="Body Text 3"/>
    <w:basedOn w:val="a"/>
    <w:link w:val="30"/>
    <w:semiHidden/>
    <w:unhideWhenUsed/>
    <w:rsid w:val="004B1347"/>
    <w:pPr>
      <w:suppressAutoHyphens w:val="0"/>
      <w:spacing w:after="120"/>
    </w:pPr>
    <w:rPr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4B134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Heading">
    <w:name w:val="Heading"/>
    <w:rsid w:val="005F7D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List Paragraph"/>
    <w:basedOn w:val="a"/>
    <w:uiPriority w:val="34"/>
    <w:qFormat/>
    <w:rsid w:val="00705F53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7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88145-6919-4EF7-BF0C-6B348D58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Молчанова Ольга Петровна</cp:lastModifiedBy>
  <cp:revision>2</cp:revision>
  <cp:lastPrinted>2021-06-07T14:48:00Z</cp:lastPrinted>
  <dcterms:created xsi:type="dcterms:W3CDTF">2021-06-17T07:11:00Z</dcterms:created>
  <dcterms:modified xsi:type="dcterms:W3CDTF">2021-06-17T07:11:00Z</dcterms:modified>
</cp:coreProperties>
</file>