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8161F" w14:textId="77777777" w:rsidR="00130F37" w:rsidRPr="007520E8" w:rsidRDefault="00130F37" w:rsidP="00130F37">
      <w:pPr>
        <w:suppressAutoHyphens/>
        <w:ind w:right="-284"/>
        <w:jc w:val="center"/>
        <w:rPr>
          <w:b/>
          <w:bCs/>
          <w:szCs w:val="28"/>
        </w:rPr>
      </w:pPr>
      <w:r w:rsidRPr="007520E8">
        <w:rPr>
          <w:b/>
          <w:bCs/>
          <w:szCs w:val="28"/>
        </w:rPr>
        <w:t>Пояснительная записка к проекту закона Ярославской области</w:t>
      </w:r>
    </w:p>
    <w:p w14:paraId="2B856F3E" w14:textId="77777777" w:rsidR="00130F37" w:rsidRPr="007520E8" w:rsidRDefault="00130F37" w:rsidP="00130F37">
      <w:pPr>
        <w:suppressAutoHyphens/>
        <w:jc w:val="center"/>
        <w:rPr>
          <w:b/>
          <w:bCs/>
          <w:szCs w:val="28"/>
        </w:rPr>
      </w:pPr>
      <w:r w:rsidRPr="007520E8">
        <w:rPr>
          <w:b/>
          <w:bCs/>
          <w:iCs/>
          <w:szCs w:val="28"/>
        </w:rPr>
        <w:t>«</w:t>
      </w:r>
      <w:r w:rsidRPr="007520E8">
        <w:rPr>
          <w:b/>
          <w:szCs w:val="28"/>
        </w:rPr>
        <w:t xml:space="preserve">О внесении изменений в </w:t>
      </w:r>
      <w:r w:rsidRPr="007520E8">
        <w:rPr>
          <w:b/>
          <w:bCs/>
          <w:szCs w:val="28"/>
        </w:rPr>
        <w:t>Закон Ярославской области</w:t>
      </w:r>
    </w:p>
    <w:p w14:paraId="3909580B" w14:textId="77777777" w:rsidR="00130F37" w:rsidRPr="007520E8" w:rsidRDefault="00130F37" w:rsidP="00130F37">
      <w:pPr>
        <w:keepNext/>
        <w:suppressAutoHyphens/>
        <w:jc w:val="center"/>
        <w:outlineLvl w:val="0"/>
        <w:rPr>
          <w:b/>
          <w:bCs/>
          <w:szCs w:val="28"/>
        </w:rPr>
      </w:pPr>
      <w:r w:rsidRPr="007520E8">
        <w:rPr>
          <w:b/>
          <w:bCs/>
          <w:kern w:val="32"/>
          <w:szCs w:val="28"/>
          <w:lang w:eastAsia="x-none"/>
        </w:rPr>
        <w:t>«</w:t>
      </w:r>
      <w:r w:rsidRPr="007520E8">
        <w:rPr>
          <w:b/>
          <w:szCs w:val="28"/>
        </w:rPr>
        <w:t>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</w:p>
    <w:p w14:paraId="36837284" w14:textId="77777777" w:rsidR="00130F37" w:rsidRPr="007520E8" w:rsidRDefault="00130F37" w:rsidP="00130F37">
      <w:pPr>
        <w:suppressAutoHyphens/>
        <w:ind w:right="-284"/>
        <w:jc w:val="center"/>
        <w:rPr>
          <w:bCs/>
          <w:iCs/>
          <w:szCs w:val="28"/>
        </w:rPr>
      </w:pPr>
    </w:p>
    <w:p w14:paraId="6BCD0798" w14:textId="77777777" w:rsidR="00130F37" w:rsidRPr="007520E8" w:rsidRDefault="00130F37" w:rsidP="00130F37">
      <w:pPr>
        <w:suppressAutoHyphens/>
        <w:ind w:right="-143"/>
        <w:rPr>
          <w:bCs/>
          <w:iCs/>
          <w:szCs w:val="28"/>
        </w:rPr>
      </w:pPr>
    </w:p>
    <w:p w14:paraId="33A943A9" w14:textId="77777777" w:rsidR="00130F37" w:rsidRPr="007520E8" w:rsidRDefault="00130F37" w:rsidP="00130F37">
      <w:pPr>
        <w:suppressAutoHyphens/>
        <w:ind w:firstLine="720"/>
        <w:jc w:val="both"/>
        <w:rPr>
          <w:bCs/>
          <w:iCs/>
          <w:szCs w:val="28"/>
        </w:rPr>
      </w:pPr>
      <w:r w:rsidRPr="007520E8">
        <w:rPr>
          <w:bCs/>
          <w:iCs/>
          <w:szCs w:val="28"/>
        </w:rPr>
        <w:t>Проект закона Ярославской области «</w:t>
      </w:r>
      <w:r w:rsidRPr="007520E8">
        <w:rPr>
          <w:szCs w:val="28"/>
        </w:rPr>
        <w:t xml:space="preserve">О внесении изменений в </w:t>
      </w:r>
      <w:r w:rsidRPr="007520E8">
        <w:rPr>
          <w:bCs/>
          <w:szCs w:val="28"/>
        </w:rPr>
        <w:t xml:space="preserve">Закон Ярославской области </w:t>
      </w:r>
      <w:r w:rsidRPr="007520E8">
        <w:rPr>
          <w:bCs/>
          <w:kern w:val="32"/>
          <w:szCs w:val="28"/>
          <w:lang w:eastAsia="x-none"/>
        </w:rPr>
        <w:t>«</w:t>
      </w:r>
      <w:r w:rsidRPr="007520E8">
        <w:rPr>
          <w:szCs w:val="28"/>
        </w:rPr>
        <w:t>О выборах в органы государственной власти Ярославской области и органы местного самоуправления муниципальных образований Ярославской области</w:t>
      </w:r>
      <w:r w:rsidRPr="007520E8">
        <w:rPr>
          <w:bCs/>
          <w:iCs/>
          <w:szCs w:val="28"/>
        </w:rPr>
        <w:t>» (далее – проект закона, законопроект) разработан</w:t>
      </w:r>
      <w:r w:rsidRPr="007520E8">
        <w:t xml:space="preserve">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Федерации».</w:t>
      </w:r>
      <w:r w:rsidRPr="007520E8">
        <w:rPr>
          <w:bCs/>
          <w:iCs/>
          <w:szCs w:val="28"/>
        </w:rPr>
        <w:t xml:space="preserve"> </w:t>
      </w:r>
    </w:p>
    <w:p w14:paraId="7F958488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Принятие проекта закона вызвано необходимостью приведения законодательства Ярославской области о выборах в соответствие с последними изменениями федерального законодательства в связи с принятием Федерального закона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Федерации».</w:t>
      </w:r>
    </w:p>
    <w:p w14:paraId="260A42F4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Проектом предусматривается:</w:t>
      </w:r>
    </w:p>
    <w:p w14:paraId="72B753B1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1)</w:t>
      </w:r>
      <w:r w:rsidRPr="007520E8">
        <w:tab/>
        <w:t>Расширение терминологии «депутат законодательного (представительного) органа государственной власти» понятием «сенатор Российской Федерации» (в соответствии с Федеральным законом от 08.05.1994 № 3-ФЗ «О статусе сенатора Российской Федерации и статусе депутата Государственной Думы Федерального Собрания Российской Федерации»).</w:t>
      </w:r>
    </w:p>
    <w:p w14:paraId="7E12B152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2)</w:t>
      </w:r>
      <w:r w:rsidRPr="007520E8">
        <w:tab/>
        <w:t>Введение нормы об обязанности организующей выборы комиссии установить форму и порядок представления списка назначенных наблюдателей, при этом устанавливается, что список предоставляется на бумажном носителе и (или) в машиночитаемом виде, а также расширяется перечень персональных данных, указываемых в отношении каждого наблюдателя: помимо ранее указываемых ФИО и адреса места жительства теперь в отношении каждого наблюдателя также должны быть указаны:</w:t>
      </w:r>
    </w:p>
    <w:p w14:paraId="2E299917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дата рождения,</w:t>
      </w:r>
    </w:p>
    <w:p w14:paraId="0CE2DC67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серия, № и дата выдачи паспорта или документа, заменяющего паспорт гражданина.</w:t>
      </w:r>
    </w:p>
    <w:p w14:paraId="762E151C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3)</w:t>
      </w:r>
      <w:r w:rsidRPr="007520E8">
        <w:tab/>
        <w:t>Дополнение списка требований, которым должен удовлетворять кандидат для его регистрации, прекращением к моменту сдачи необходимых для регистрации документов статуса иностранного агента с установлением при его наличии соответствующих оснований для:</w:t>
      </w:r>
    </w:p>
    <w:p w14:paraId="60ECCE21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отказа в регистрации кандидата,</w:t>
      </w:r>
    </w:p>
    <w:p w14:paraId="77ACA4AC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 xml:space="preserve">- исключения кандидата из заверенного списка кандидатов, </w:t>
      </w:r>
    </w:p>
    <w:p w14:paraId="35364EC6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отмены регистрации кандидата судом.</w:t>
      </w:r>
    </w:p>
    <w:p w14:paraId="7F78D82B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lastRenderedPageBreak/>
        <w:t xml:space="preserve">Также соответствующим образом исключены нормы закона, в которых ранее фигурировали зарегистрированные кандидаты-иностранные агенты: </w:t>
      </w:r>
    </w:p>
    <w:p w14:paraId="5A09EC72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 xml:space="preserve">- об условиях проведения агитации, </w:t>
      </w:r>
    </w:p>
    <w:p w14:paraId="49C0B0F3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об информации о кандидате-иностранном агенте на информационном стенде и в избирательном бюллетене.</w:t>
      </w:r>
    </w:p>
    <w:p w14:paraId="00512476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При этом для зарегистрированных кандидатов устанавливается корреспондирующая данному запрету дополнительная гарантия – зарегистрированный кандидат не может быть включён в реестр иностранных агентов.</w:t>
      </w:r>
    </w:p>
    <w:p w14:paraId="43F06F99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4)</w:t>
      </w:r>
      <w:r w:rsidRPr="007520E8">
        <w:tab/>
        <w:t>Дополнение перечня оснований, по которым проводится проверка выполнения кандидатом к моменту представления документов, необходимых для регистрации, требований о закрытии счетов (вкладов), прекращении хранения наличных денежных средств и ценностей в иностранных банках, расположенных за пределами Российской Федерации, отчуждении иностранных финансовых инструментов, случаем указания самим кандидатом сведений о наличии у него таких счетов (вкладов), наличных денежных средств и ценностей, иностранных финансовых инструментов, а также случаем выявления таких фактов самой комиссией в результате проверки, проведённой в соответствии с пунктами 6</w:t>
      </w:r>
      <w:r w:rsidRPr="007520E8">
        <w:rPr>
          <w:vertAlign w:val="superscript"/>
        </w:rPr>
        <w:t>3</w:t>
      </w:r>
      <w:r w:rsidRPr="007520E8">
        <w:t xml:space="preserve"> – 6</w:t>
      </w:r>
      <w:r w:rsidRPr="007520E8">
        <w:rPr>
          <w:vertAlign w:val="superscript"/>
        </w:rPr>
        <w:t>7</w:t>
      </w:r>
      <w:r w:rsidRPr="007520E8">
        <w:t xml:space="preserve"> статьи 44 Закона.</w:t>
      </w:r>
    </w:p>
    <w:p w14:paraId="79F62B47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5)</w:t>
      </w:r>
      <w:r w:rsidRPr="007520E8">
        <w:tab/>
        <w:t>Исключение обязанности Министерства юстиции Российской Федерации (его территориальных органов) по публикации списка избирательных объединений, имеющих право принимать участие в выборах, в государственных или муниципальных периодических печатных изданиях с сохранением обязанности по размещению данного списка на официальном сайте Министерства юстиции Российской Федерации (его территориальных органов) в информационно-телекоммуникационной сети «Интернет».</w:t>
      </w:r>
    </w:p>
    <w:p w14:paraId="73E74431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6)</w:t>
      </w:r>
      <w:r w:rsidRPr="007520E8">
        <w:tab/>
        <w:t>Установление запрета на назначение уполномоченными представителями и доверенными лицами кандидатов и избирательных объединений лиц, включённых в:</w:t>
      </w:r>
    </w:p>
    <w:p w14:paraId="0A300051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a)</w:t>
      </w:r>
      <w:r w:rsidRPr="007520E8">
        <w:tab/>
        <w:t>реестр иностранных агентов,</w:t>
      </w:r>
    </w:p>
    <w:p w14:paraId="6E88E848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б)</w:t>
      </w:r>
      <w:r w:rsidRPr="007520E8">
        <w:tab/>
        <w:t>единый реестр сведений о лицах, причастных к деятельности экстремистской или террористической организации.</w:t>
      </w:r>
    </w:p>
    <w:p w14:paraId="15440F97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7)</w:t>
      </w:r>
      <w:r w:rsidRPr="007520E8">
        <w:tab/>
        <w:t>Уточнение, что ошибки (опечатки), допущенные в оформлении документов в отношении кандидата, выдвинутого в одномандатном (многомандатном) округе, являются основанием для исключения данного кандидата из списка кандидатов по одномандатным (многомандатным) округам до его заверения (ранее при таких ошибках принималось решение об отказе в заверении списка кандидатов в целом).</w:t>
      </w:r>
    </w:p>
    <w:p w14:paraId="6F16CA07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8)</w:t>
      </w:r>
      <w:r w:rsidRPr="007520E8">
        <w:tab/>
        <w:t>Основание для отказа в регистрации кандидата, списка кандидатов по причине превышения более чем на 5% установленного законом предельного размера расходования средств избирательного фонда конкретизировано указанием на превышение размера соответствующего избирательного фонда (поскольку предельный размер расходования средств избирательного фонда устанавливается для каждого вида избирательной кампании).</w:t>
      </w:r>
    </w:p>
    <w:p w14:paraId="585154E5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lastRenderedPageBreak/>
        <w:t>Установлен предусмотренный Федеральным законом «Об основных гарантиях избирательных прав и права на участие в референдуме граждан Российской Федерации» лимит на предельный размер расходования средств избирательного фонда до регистрации кандидата, списка кандидатов на выборах в органы государственной власти Ярославской области и органы местного самоуправления муниципальных образований Ярославской области – 30% от установленного законом предельного размера расходования средств избирательного фонда.</w:t>
      </w:r>
    </w:p>
    <w:p w14:paraId="4332B3D3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9)</w:t>
      </w:r>
      <w:r w:rsidRPr="007520E8">
        <w:tab/>
        <w:t>Конкретизация запрета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определённым кругом лиц (включая сеть «Интернет»), в день голосования моментом окончания голосования на территории соответствующего избирательного округа в день голосования (последний день голосования).</w:t>
      </w:r>
    </w:p>
    <w:p w14:paraId="0B298F4E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10)</w:t>
      </w:r>
      <w:r w:rsidRPr="007520E8">
        <w:tab/>
        <w:t>Установление запрета на внесение пожертвований лицами, сведения о которых включены в единый реестр сведений о лицах, причастных к деятельности экстремистской или террористической организации.</w:t>
      </w:r>
    </w:p>
    <w:p w14:paraId="546B5B28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11)</w:t>
      </w:r>
      <w:r w:rsidRPr="007520E8">
        <w:tab/>
        <w:t>Расширение полномочий контрольно-ревизионной службы при проведении выборов полномочием по представлению по результатам проверки финансовых отчётов кандидатов, избирательных объединений предложений в избирательную комиссию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законодательством Российской Федерации.</w:t>
      </w:r>
    </w:p>
    <w:p w14:paraId="3594F3BC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12)</w:t>
      </w:r>
      <w:r w:rsidRPr="007520E8">
        <w:tab/>
        <w:t>Установление единого к погашению избирательных бюллетеней после окончания времени голосования требования во всех избирательных комиссиях:</w:t>
      </w:r>
    </w:p>
    <w:p w14:paraId="2E5743D9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a)</w:t>
      </w:r>
      <w:r w:rsidRPr="007520E8">
        <w:tab/>
        <w:t xml:space="preserve">Вместо ранее установленного правила об отрезании в участковых комиссиях левого нижнего угла неиспользованных бюллетеней при отсутствии аналогичного правила для остальных избирательных комиссий теперь введено единое для все избирательных комиссий правило о погашении неиспользованных бюллетеней путем их повреждения исключающими возможность их дальнейшего использования способами, определенными Центральной избирательной комиссией Российской Федерации, без повреждения при этом квадратов, предназначенных для проставления отметки избирателя. </w:t>
      </w:r>
    </w:p>
    <w:p w14:paraId="64D2996C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Аналогичное правило погашения введено для испорченных избирателями избирательных бюллетеней, взамен которых избирателю выдан новый избирательный бюллетень.</w:t>
      </w:r>
    </w:p>
    <w:p w14:paraId="7E54A9E9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б)</w:t>
      </w:r>
      <w:r w:rsidRPr="007520E8">
        <w:tab/>
        <w:t>Конкретизировано правило о составлении акта о погашенных избирательных бюллетенях во всех, кроме участковых, избирательных комиссиях.</w:t>
      </w:r>
    </w:p>
    <w:p w14:paraId="11073C25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lastRenderedPageBreak/>
        <w:t>13)</w:t>
      </w:r>
      <w:r w:rsidRPr="007520E8">
        <w:tab/>
        <w:t>Установление для члена участковой избирательной комиссии, нарушающего законодательство Российской Федерации о выборах и референдумах, аналогичной нарушающему законодательство наблюдателю или иному лицу меры ответственности в виде удаления из помещения для голосования (в дополнение к ранее установленной мере в виде отстранения от участия в работе комиссии).</w:t>
      </w:r>
    </w:p>
    <w:p w14:paraId="5D9B0B84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14)</w:t>
      </w:r>
      <w:r w:rsidRPr="007520E8">
        <w:tab/>
        <w:t>Уточнение исходных данных для голосования избирателей, которые находятся в местах содержания под стражей подозреваемых и обвиняемых за пределами соответствующего избирательного округа:</w:t>
      </w:r>
    </w:p>
    <w:p w14:paraId="2015AA03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 xml:space="preserve">- такое голосование проводится только на выборах Губернатора Ярославской области и депутатов Ярославской областной (до настоящего изменения соответствующей нормы, введённой в федеральное законодательство в 2023 году, такое голосование предусматривалось и на выборах в органы местного самоуправления), </w:t>
      </w:r>
    </w:p>
    <w:p w14:paraId="7A27ED82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голосование проводится на выборах, назначенных только на единый день голосования (до настоящего изменения соответствующей нормы, введённой в федеральное законодательство в 2023 году, такое голосование предусматривалось при проведении выборов в любой день, а не только в единый день голосования),</w:t>
      </w:r>
    </w:p>
    <w:p w14:paraId="68CF8BCF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- субъекты Российской Федерации и выборы, на которых будет использоваться такое голосование, в том числе досрочное голосование, голосование вне помещения для голосования, определяются Центральной избирательной комиссией Российской Федерации.</w:t>
      </w:r>
    </w:p>
    <w:p w14:paraId="7D338080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t>15)</w:t>
      </w:r>
      <w:r w:rsidRPr="007520E8">
        <w:tab/>
        <w:t>Сокращение с двух до одного месяца срока для принятия судом решения по жалобе на решение комиссии об итогах голосования, о результатах выборов.</w:t>
      </w:r>
    </w:p>
    <w:p w14:paraId="3BD5BBD1" w14:textId="77777777" w:rsidR="00130F37" w:rsidRPr="007520E8" w:rsidRDefault="00130F37" w:rsidP="00130F37">
      <w:pPr>
        <w:suppressAutoHyphens/>
        <w:ind w:firstLine="720"/>
        <w:jc w:val="both"/>
      </w:pPr>
      <w:r w:rsidRPr="007520E8">
        <w:rPr>
          <w:bCs/>
          <w:iCs/>
          <w:szCs w:val="28"/>
        </w:rPr>
        <w:t>Принятие проекта закона не повлечет за собой увеличение (уменьшение) расходов или доходов областного бюджета.</w:t>
      </w:r>
    </w:p>
    <w:p w14:paraId="6CEE64BB" w14:textId="77777777" w:rsidR="00393E35" w:rsidRPr="007520E8" w:rsidRDefault="00393E35"/>
    <w:sectPr w:rsidR="00393E35" w:rsidRPr="007520E8" w:rsidSect="007B2612">
      <w:headerReference w:type="even" r:id="rId6"/>
      <w:headerReference w:type="default" r:id="rId7"/>
      <w:headerReference w:type="first" r:id="rId8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5B469" w14:textId="77777777" w:rsidR="00000000" w:rsidRDefault="007520E8">
      <w:r>
        <w:separator/>
      </w:r>
    </w:p>
  </w:endnote>
  <w:endnote w:type="continuationSeparator" w:id="0">
    <w:p w14:paraId="215321F7" w14:textId="77777777" w:rsidR="00000000" w:rsidRDefault="0075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6B18F" w14:textId="77777777" w:rsidR="00000000" w:rsidRDefault="007520E8">
      <w:r>
        <w:separator/>
      </w:r>
    </w:p>
  </w:footnote>
  <w:footnote w:type="continuationSeparator" w:id="0">
    <w:p w14:paraId="15D9F38C" w14:textId="77777777" w:rsidR="00000000" w:rsidRDefault="00752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30A95" w14:textId="77777777" w:rsidR="001B746A" w:rsidRDefault="00130F37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09BECF" w14:textId="77777777" w:rsidR="001B746A" w:rsidRDefault="007520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35A2" w14:textId="77777777" w:rsidR="001B746A" w:rsidRDefault="007520E8" w:rsidP="00B970F8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14:paraId="2BFC4D03" w14:textId="77777777" w:rsidR="001B746A" w:rsidRPr="00B970F8" w:rsidRDefault="00130F37" w:rsidP="00B970F8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B970F8">
      <w:rPr>
        <w:rStyle w:val="a5"/>
        <w:sz w:val="24"/>
      </w:rPr>
      <w:fldChar w:fldCharType="begin"/>
    </w:r>
    <w:r w:rsidRPr="00B970F8">
      <w:rPr>
        <w:rStyle w:val="a5"/>
        <w:sz w:val="24"/>
      </w:rPr>
      <w:instrText xml:space="preserve">PAGE  </w:instrText>
    </w:r>
    <w:r w:rsidRPr="00B970F8">
      <w:rPr>
        <w:rStyle w:val="a5"/>
        <w:sz w:val="24"/>
      </w:rPr>
      <w:fldChar w:fldCharType="separate"/>
    </w:r>
    <w:r>
      <w:rPr>
        <w:rStyle w:val="a5"/>
        <w:noProof/>
        <w:sz w:val="24"/>
      </w:rPr>
      <w:t>3</w:t>
    </w:r>
    <w:r w:rsidRPr="00B970F8">
      <w:rPr>
        <w:rStyle w:val="a5"/>
        <w:sz w:val="24"/>
      </w:rPr>
      <w:fldChar w:fldCharType="end"/>
    </w:r>
  </w:p>
  <w:p w14:paraId="092338AC" w14:textId="77777777" w:rsidR="001B746A" w:rsidRDefault="007520E8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9F419" w14:textId="77777777" w:rsidR="001B746A" w:rsidRPr="00352147" w:rsidRDefault="007520E8" w:rsidP="008C09D2">
    <w:pPr>
      <w:pStyle w:val="a3"/>
      <w:tabs>
        <w:tab w:val="clear" w:pos="4677"/>
        <w:tab w:val="clear" w:pos="9355"/>
        <w:tab w:val="left" w:pos="2339"/>
      </w:tabs>
      <w:ind w:left="19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37"/>
    <w:rsid w:val="00130F37"/>
    <w:rsid w:val="00393E35"/>
    <w:rsid w:val="0075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57AC"/>
  <w15:chartTrackingRefBased/>
  <w15:docId w15:val="{4233A120-44CD-4B96-B52D-969D64791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F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0F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0F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30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1395</Words>
  <Characters>7957</Characters>
  <Application>Microsoft Office Word</Application>
  <DocSecurity>0</DocSecurity>
  <Lines>66</Lines>
  <Paragraphs>18</Paragraphs>
  <ScaleCrop>false</ScaleCrop>
  <Company/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Fefilin</dc:creator>
  <cp:keywords/>
  <dc:description/>
  <cp:lastModifiedBy>Sergey Fefilin</cp:lastModifiedBy>
  <cp:revision>2</cp:revision>
  <dcterms:created xsi:type="dcterms:W3CDTF">2024-05-21T13:15:00Z</dcterms:created>
  <dcterms:modified xsi:type="dcterms:W3CDTF">2024-05-21T13:18:00Z</dcterms:modified>
</cp:coreProperties>
</file>