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59" w:rsidRDefault="00BF5B59" w:rsidP="00BF5B59">
      <w:pPr>
        <w:widowControl/>
        <w:autoSpaceDE/>
        <w:autoSpaceDN/>
        <w:adjustRightInd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51475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ПРОЕКТ</w:t>
      </w:r>
    </w:p>
    <w:p w:rsidR="00BF5B59" w:rsidRDefault="00BF5B59" w:rsidP="004761EA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EA" w:rsidRPr="0032098C" w:rsidRDefault="009646FF" w:rsidP="004761EA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8C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4761EA" w:rsidRPr="0032098C" w:rsidRDefault="009646FF" w:rsidP="004761EA">
      <w:pPr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8C">
        <w:rPr>
          <w:rFonts w:ascii="Times New Roman" w:hAnsi="Times New Roman" w:cs="Times New Roman"/>
          <w:b/>
          <w:sz w:val="28"/>
          <w:szCs w:val="28"/>
        </w:rPr>
        <w:t xml:space="preserve">ПРЕДОСТАВЛЕНИЯ И РАСПРЕДЕЛЕНИЯ СУБСИДИЙ НА </w:t>
      </w:r>
      <w:r w:rsidR="00A13209">
        <w:rPr>
          <w:rFonts w:ascii="Times New Roman" w:hAnsi="Times New Roman" w:cs="Times New Roman"/>
          <w:b/>
          <w:sz w:val="28"/>
          <w:szCs w:val="28"/>
        </w:rPr>
        <w:t xml:space="preserve">РЕАЛИЗАЦИЮ МЕРОПРИЯТИЙ ПО </w:t>
      </w:r>
      <w:r w:rsidRPr="0032098C">
        <w:rPr>
          <w:rFonts w:ascii="Times New Roman" w:hAnsi="Times New Roman" w:cs="Times New Roman"/>
          <w:b/>
          <w:sz w:val="28"/>
          <w:szCs w:val="28"/>
        </w:rPr>
        <w:t>СТИМУЛИРОВАНИ</w:t>
      </w:r>
      <w:r w:rsidR="00A13209">
        <w:rPr>
          <w:rFonts w:ascii="Times New Roman" w:hAnsi="Times New Roman" w:cs="Times New Roman"/>
          <w:b/>
          <w:sz w:val="28"/>
          <w:szCs w:val="28"/>
        </w:rPr>
        <w:t>Ю</w:t>
      </w:r>
      <w:r w:rsidRPr="0032098C">
        <w:rPr>
          <w:rFonts w:ascii="Times New Roman" w:hAnsi="Times New Roman" w:cs="Times New Roman"/>
          <w:b/>
          <w:sz w:val="28"/>
          <w:szCs w:val="28"/>
        </w:rPr>
        <w:t xml:space="preserve"> ПРОГРАММ РАЗВИТИЯ ЖИЛИЩНОГО СТРОИТЕЛЬСТВА 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32098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Методика разработана в соответствии с пунктом 3 статьи 139 Бюджетного кодекса Российской Федерации, постановлением Правительства области от 04.02.2015 № 93-п «О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области», постановлением Правительства Российской Федерации от 30 сентября 2014 г. № 999 «О формировании, предоставлении и распределении субсидий из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бюджета бюджетам субъектов Российской Федерации», приоритетным проектом «Ипотека и арендное 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и</w:t>
      </w:r>
      <w:r w:rsidRPr="0032098C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и определяет порядок и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условия предоставления субсидий на стимулирование программ развития жилищного строительства муниципальных образований Ярославской области в рамках региональной программы «Стимулирование развития жилищного строительства на территории Ярославской области» на 2011 – 2020 годы (далее – субсидии) за счёт средств федерального бюджета, а также средств областного бюджета в части обеспечения соответствующего софинансирования расходного обязательства, принципы распределения субсидий между муниципальными образованиями области, условия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и механизм расходования.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Субсидии предусмотрены на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расходных обязательств муниципальных образований области, возникающих при выполнении органом местного самоуправления муниципального района области (далее – ОМСУ) полномочий по реализации проектов по развитию территорий, расположенных в границах населенных пунктов, предусматривающих строительство жилья</w:t>
      </w:r>
      <w:r w:rsidRPr="0032098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Проект по развитию территорий включает в себя перечень мероприятий по подготовке документации по планировке территории, образованию земельных участков в границах такой территории, модернизации (строительству) на земельных участках в границах соответствующей территории объектов транспортной, коммунальной и социальной инфраструктур с обоснованием экономической целесообразности объема и сроков их реализации.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2.1. Субсидии предоставляются на реализацию проектов по развитию территорий, соответствующих следующим критериям: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предусмотренных законодательством Российской Федерации о градостроительной деятельности документов территориального планирования, правил землепользования и застройки;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описания проекта по развитию территорий, которым предусматривается строительство объекта капитального строительства, с указанием наименования проекта и адреса объекта капитального строительства, кадастрового номера и площади земельного участка, общего объема и сроков ввода жилья и, если проектом по развитию территорий предусмотрено строительство автомобильной дороги, ее классификации и категории, а также оценки влияния строительства планируемой автомобильной дороги на развитие транспортной инфраструктуры;</w:t>
      </w:r>
      <w:proofErr w:type="gramEnd"/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генерального плана расположения объектов, предусмотренных проектом по развитию территорий.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расходных обязательств за счет вышестоящих бюджетов устанавливается соглашением о предоставлении средств из федерального бюджета бюджету Ярославской области, заключаемым между Министерством строительства и жилищно-коммунального хозяйства Российской Федерации и департаментом строительства Ярославской области (далее – департамент).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3. Субсидия предоставляется: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на возмещение затрат (части затрат) на уплату процентов по кредитам, полученным юридическими лицами (далее – заемщики) в российских кредитных организациях на обеспечение инженерной инфраструктурой земельных участков, предназначенных для строительства стандартного жилья, а также предоставляемых семьям, имеющим 3 и более детей;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- на </w:t>
      </w: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строительства (реконструкции) объектов социальной инфраструктуры (дошкольных образовательных организаций, общеобразовательных организаций, учреждений здравоохранения) в рамках реализации проектов по комплексному развитию территорий, предусматривающих строительство стандартного жилья;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на строительство автомобильных дорог в новых микрорайонах массовой малоэтажной и многоквартирной застройки стандартным жильем.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Для участия в задаче по стимулированию программ развития жилищного строительства муниципальных образований Ярославской области в рамках региональной программы «Стимулирование развития жилищного строительства на территории Ярославской области» на 2011 – 2020 годы (далее – Программа) ОМСУ направляет в департамент заявку на участие в такой задаче по форме и в срок, которые утверждаются приказом департамента.</w:t>
      </w:r>
      <w:proofErr w:type="gramEnd"/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4. Критериями отбора муниципальных образований области для получения субсидии являются: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годовой объем ввода жилья, измеряемый в тыс. квадратных метров;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lastRenderedPageBreak/>
        <w:t>- увеличение годового объема ввода жилья в муниципальном образовании области, измеряемого в процентах от объема ввода жилья предыдущего года;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доли ввода стандартного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жилья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в общем объеме вводимого в эксплуатацию жилья, измеряемой в процентах объема предыдущего года;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наличие проекта, соответствующего критериям, указанным в подпункте 2.1 пункта 2 настоящей Методики.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5. Отбор проектов, представленных муниципальными образованиями области для получения субсидии, оценка департаментом указанных проектов и подведение итогов отбора указанных проектов осуществляются в соответствии с приказом департамента от 28.02.2018 № 37 «Об утверждении порядка проведения ежегодного отбора».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6. Условия предоставления и расходования субсидии: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в ОМСУ соответствующей утвержденной муниципальной программы, а также соответствие мероприятий муниципальных программ требованиям Программы;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программ; у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ровень софинансирования расходного обязательства муниципального образования области по каждому из направлений расходов, указанных в </w:t>
      </w:r>
      <w:hyperlink w:anchor="Par3846" w:history="1">
        <w:r w:rsidRPr="0032098C">
          <w:rPr>
            <w:rFonts w:ascii="Times New Roman" w:eastAsia="Times New Roman" w:hAnsi="Times New Roman" w:cs="Times New Roman"/>
            <w:sz w:val="28"/>
            <w:szCs w:val="28"/>
          </w:rPr>
          <w:t>пункте 3</w:t>
        </w:r>
      </w:hyperlink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настоящей Методики, не ниже 5 процентов расходного обязательства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наличие соглашения о предоставлении субсидии (далее – соглашение), подписанного департаментом и ОМСУ, составленного по форме, утверждаемой приказом департамента в соответствии с требованиями подпункта 17.1.1 пункта 17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№ 93-п «О правилах предоставления субсидий из областного бюджета местным бюджетам Ярославской области и признании утратившими силу и частично утратившими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отдельных постановлений Правительства области»;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соблюдение целевого направления расходования субсидии;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разработка документов территориального планирования;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комплексное развитие коммунальной инфраструктуры в целях жилищного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развитие социальной инфраструктуры для строительства стандартного жилья;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стимулирование частной инициативы граждан в жилищном строительстве;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формирование условий создания жилищных некоммерческих объединений граждан, включая жилищно-строительные кооперативы;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развитие местной строительной индустрии и промышленности строительных материалов;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- реализация проектов комплексного освоения территорий в целях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lastRenderedPageBreak/>
        <w:t>жилищного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осуществление мероприятий по обеспечению жильем семей, имеющих право воспользоваться средствами материнского (семейного) капитала для улучшения жилищных условий;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стандартного жилья, в том числе малоэтажного, отвечающего стандартам ценовой доступности, </w:t>
      </w: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экологичности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выполнение требований к показателям результативности и эффективности использования субсидии, установленных пунктом 15 настоящей Методики, и соблюдение графика выполнения работ;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выполнение требований к срокам, порядку и формам представления отчетности об использовании субсидии, установленных пунктом 13 настоящей Методики;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осуществление закупок товаров, работ, услуг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обеспечение 24-часового онлайн-видеонаблюдения (с трансляцией в информационно-телекоммуникационной сети «Интернет»)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7. Предоставление субсидии осуществляется главным распорядителем средств областного бюджета – департаментом на основании соглашения, заключаемого департаментом и ОМСУ. Соглашение должно содержать положения, регулирующие порядок предоставления субсидии: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предмет соглашения, размер субсидии, целевое назначение субсидии;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объемы и сроки финансирования;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условия предоставления субсидии, в том числе размер софинансирования из средств местного бюджета, целевые значения показателей результативности и эффективности использования субсидии;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права и обязанности сторон, в том числе обязанность ОМСУ по достижению установленных соглашением значений показателей результативности и эффективности использования субсидии, обеспечению 24-часового онлайн-видеонаблюдения (с трансляцией в информационно-телекоммуникационной сети «Интернет»)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обязательство о представлении ОМСУ отчетов об исполнении обязательств, вытекающих из соглашения, в том числе о достигнутых значениях показателей результативности и эффективности использования субсидии;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последствия невыполнения ОМСУ установленных значений показателей результативности и эффективности использования субсидий;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- сроки, форма и порядок представления отчетности об осуществлении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lastRenderedPageBreak/>
        <w:t>расходов местного бюджета, источником финансового обеспечения которых является субсидия;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ответственность сторон за нарушение условий соглашения;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иные условия, регулирующие порядок предоставления субсидии;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основания и порядок возврата субсидий при нарушени</w:t>
      </w:r>
      <w:r w:rsidR="00D1451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условий соглашения.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Форма соглашения утверждается приказом департамента.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8. Для заключения соглашения ОМСУ представляют в департамент следующие документы и сведения: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копия утвержденной муниципальной программы, на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которой предоставляется субсидия;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</w:t>
      </w:r>
      <w:r w:rsidRPr="0032098C">
        <w:rPr>
          <w:rFonts w:ascii="Times New Roman" w:eastAsia="Times New Roman" w:hAnsi="Times New Roman" w:cs="Calibri"/>
          <w:sz w:val="28"/>
          <w:szCs w:val="22"/>
          <w:lang w:eastAsia="en-US"/>
        </w:rPr>
        <w:t xml:space="preserve"> в рамках 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программы, на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которой предоставляется субсидия;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наименование объекта капитального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мощность объекта капитального строительства, подлежащего вводу в эксплуатацию;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срок ввода объекта в эксплуатацию;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размер бюджетных ассигнований областного бюджета, планируемых к направлению на объект капитального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копия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 (в случае если проведение такой экспертизы в соответствии с законодательством Российской Федерации является обязательным);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документы об утверждении проектной документации в соответствии с законодательством Российской Федерации;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копия положительного заключения о достоверности сметной стоимости объекта капитального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титульные списки вновь начинаемых и переходящих объектов капитального строительства, утвержденные заказчиком;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копии документов, подтверждающих направление собственных, заемных и других средств на финансирование объекта капитального строительства;</w:t>
      </w:r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- документ, содержащий результаты оценки эффективности использования бюджетных средств, направляемых на капитальные вложения.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Ярославской области подлежат сокращению путем внесения изменений в закон Ярославской области об областном бюджете на соответствующий 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финансовый год и на плановый период и сводную бюджетную роспись областного бюджета.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не перечислена (частично или в полном объеме), при этом документы, в том числе подтверждающие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неперечисленный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объем субсидии подлежит предоставлению в рамках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лимитов бюджетных обязательств текущего финансового года при включении мероприятия муниципальной программы, на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которого направляется субсидия, в Программу.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заключении соглашения в текущем году повторного представления документов, подтверждающих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расходного обязательства за счет средств местного бюджета, не требуется.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10. Показатель результативности использования субсидии определяется исходя из сравнения фактически достигнутых и плановых значений результативности использования субсидии – объема ввода жилья, предусмотренного соглашением, заключаемым между Министерством строительства и жилищно-коммунального хозяйства Российской Федерации и департаментом.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11. Распределение субсидии между бюджетами муниципальных образований области утверждается постановлением Правительства области.</w:t>
      </w:r>
    </w:p>
    <w:p w:rsidR="004761EA" w:rsidRPr="0032098C" w:rsidRDefault="004761EA" w:rsidP="004761EA">
      <w:pPr>
        <w:widowControl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12. </w:t>
      </w:r>
      <w:r w:rsidRPr="0032098C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Предоставление субсидии осуществляется в следующем порядке:</w:t>
      </w:r>
    </w:p>
    <w:p w:rsidR="004761EA" w:rsidRPr="0032098C" w:rsidRDefault="004761EA" w:rsidP="004761EA">
      <w:pPr>
        <w:widowControl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Times New Roman" w:hAnsi="Times New Roman" w:cs="Times New Roman"/>
          <w:sz w:val="28"/>
          <w:szCs w:val="28"/>
          <w:lang w:eastAsia="en-US"/>
        </w:rPr>
        <w:t>- перечисление субсидии в бюджеты муниципальных образований осуществляется с учетом доведенных до администраторов доходов предельных объемов финансирования и кассового плана областного бюджета, утвержденного на соответствующий квартал;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перечисление субсидии 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бюджеты муниципальных образований области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в бюджеты муниципальных образований Ярославской области;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целях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софинансирования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13. ОМСУ представляют в департамент ежемесячно, в срок до 05 числа месяца, следующего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отчетным: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отчет об исполнении условий предоставления субсидии;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акты выполненных работ и справки о стоимости выполненных работ по объектам строительства, реконструкции (формы КС-2, КС-3, утвержденные Федеральной службой государственной статистики);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иные отчеты, перечень, формы и периодичность представления которых установлены приказом департамента.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14. Предоставление субсидий, предусмотренных соответствующему муниципальному образованию области, приостанавливается департаментом финансов Ярославской области на основании предложений департамента как субъекта бюджетного планирования: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 случае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неосвоения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 образованием субсидий за отчетный период в полном объеме или частично;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- в случае несоблюдения муниципальным образованием области условий предоставления субсидии;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 отсутствии у застройщиков, участвующих в реализации задачи по стимулированию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 развития жилищного строительства муниципальных образований Ярославской области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рамках Программы, потребности в субсидиях.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Департамент финансов Ярославской области по предложениям департамента принимает решение о приостановлении финансирования субсидии в случае непредставления в срок отчетности, установленной пунктом 13 настоящей Методики.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Отмена приостановления предоставления субсидии осуществляется департаментом финансов Ярославской области при получении от департамента информации о представлении установленных отчетов.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Приостановление предоставления субсидии осуществляется в соответствии с приказом департамента финансов Ярославской области от 04.02.2008 № 3 «Об утверждении порядка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 Ярославской области условий их предоставления».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14.1. В случае невыполнения муниципальным образованием области условий по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софинансированию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средства, предоставляемые бюджету муниципального образования области, подлежат сокращению до соответствующего уровня софинансирования.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Сумма субсидии, подлежащая сокращению в случае несоблюдения уровня софинансирования расходного обязательства, рассчитывается пропорционально средствам, фактически выделенным из местного бюджета, без учета средств областного бюджета.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Сумма субсидии, подлежащая сокращению, должна быть возвращена в бюджет Ярославской области.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Сокращение субсидии осуществляется в соответствии приказом департамента финансов Ярославской области от 04.02.2008 № 3 «Об 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утверждении порядка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 Ярославской области условий их предоставления».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15.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Оценка результативности и эффективности использования субсидий осуществляется ежегодно департаментом на основании отчетов о реализации задачи по стимулированию программ развития жилищного строительства муниципальных образований Ярославской области в рамках Программы, представляемых ОМСУ по </w:t>
      </w:r>
      <w:hyperlink w:anchor="Par3771" w:history="1">
        <w:r w:rsidRPr="0032098C">
          <w:rPr>
            <w:rFonts w:ascii="Times New Roman" w:eastAsia="Times New Roman" w:hAnsi="Times New Roman" w:cs="Times New Roman"/>
            <w:sz w:val="28"/>
            <w:szCs w:val="28"/>
          </w:rPr>
          <w:t>форме</w:t>
        </w:r>
      </w:hyperlink>
      <w:r w:rsidRPr="0032098C">
        <w:rPr>
          <w:rFonts w:ascii="Times New Roman" w:eastAsia="Times New Roman" w:hAnsi="Times New Roman" w:cs="Times New Roman"/>
          <w:sz w:val="28"/>
          <w:szCs w:val="28"/>
        </w:rPr>
        <w:t>, утверждаемой приказом департамента,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значениями.</w:t>
      </w:r>
      <w:proofErr w:type="gramEnd"/>
    </w:p>
    <w:p w:rsidR="004761EA" w:rsidRPr="0032098C" w:rsidRDefault="004761EA" w:rsidP="004761EA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Показатель результативности использования субсидии (R') рассчитывается по формуле: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R' = SUM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n × (</w:t>
      </w: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Xn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>тек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./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Xn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план.) × 100 %,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</w:rPr>
      </w:pP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Xn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тек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>екущее значение показателя;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Xn</w:t>
      </w:r>
      <w:proofErr w:type="spell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>лановое значение показателя;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098C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– весовой коэффициент.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При значении показателя результативности использования субсидии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br/>
        <w:t xml:space="preserve">95 процентов и более результативность использования субсидии признаётся высокой, при значении от 90 до 95 процентов – средней, при значении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br/>
        <w:t>90 процентов и менее – низкой.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Показатель эффективности использования субсидии рассчитывается по формуле: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' / (F тек.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/ F план.) × 100 %,</w:t>
      </w:r>
      <w:proofErr w:type="gramEnd"/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</w:rPr>
      </w:pP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t>' – показатель результативности использования субсидии;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F план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>лановая сумма финансирования;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F тек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2098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2098C">
        <w:rPr>
          <w:rFonts w:ascii="Times New Roman" w:eastAsia="Times New Roman" w:hAnsi="Times New Roman" w:cs="Times New Roman"/>
          <w:sz w:val="28"/>
          <w:szCs w:val="28"/>
        </w:rPr>
        <w:t>умма финансирования на текущую дату.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 xml:space="preserve">При значении показателя эффективности использования субсидии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br/>
        <w:t xml:space="preserve">95 процентов и более результативность использования субсидии признаётся высокой, при значении от 90 до 95 процентов – средней, при значении </w:t>
      </w:r>
      <w:r w:rsidRPr="0032098C">
        <w:rPr>
          <w:rFonts w:ascii="Times New Roman" w:eastAsia="Times New Roman" w:hAnsi="Times New Roman" w:cs="Times New Roman"/>
          <w:sz w:val="28"/>
          <w:szCs w:val="28"/>
        </w:rPr>
        <w:br/>
        <w:t>менее 90 процентов – низкой.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098C">
        <w:rPr>
          <w:rFonts w:ascii="Times New Roman" w:eastAsia="Times New Roman" w:hAnsi="Times New Roman" w:cs="Times New Roman"/>
          <w:sz w:val="28"/>
          <w:szCs w:val="28"/>
        </w:rPr>
        <w:t>При расчете эффективности и результативности использования субсидии применяются показатели результативности и их весовые коэффициенты: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331"/>
        <w:gridCol w:w="2478"/>
      </w:tblGrid>
      <w:tr w:rsidR="004761EA" w:rsidRPr="0032098C" w:rsidTr="00355A19">
        <w:trPr>
          <w:cantSplit/>
          <w:trHeight w:val="480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Значение весового коэффициента</w:t>
            </w:r>
          </w:p>
        </w:tc>
      </w:tr>
      <w:tr w:rsidR="004761EA" w:rsidRPr="0032098C" w:rsidTr="00355A19">
        <w:trPr>
          <w:cantSplit/>
          <w:trHeight w:val="240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ind w:firstLine="24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Годовой объем ввода жилья в эксплуатацию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0,15</w:t>
            </w:r>
          </w:p>
        </w:tc>
      </w:tr>
      <w:tr w:rsidR="004761EA" w:rsidRPr="0032098C" w:rsidTr="00355A19">
        <w:trPr>
          <w:cantSplit/>
          <w:trHeight w:val="240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ind w:firstLine="24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Доля ввода малоэтажного жилья в эксплуатацию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0,35</w:t>
            </w:r>
          </w:p>
        </w:tc>
      </w:tr>
      <w:tr w:rsidR="004761EA" w:rsidRPr="0032098C" w:rsidTr="00355A19">
        <w:trPr>
          <w:cantSplit/>
          <w:trHeight w:val="240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3.</w:t>
            </w: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ind w:firstLine="24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Доля годового ввода стандартного жилья в эксплуатацию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0,25</w:t>
            </w:r>
          </w:p>
        </w:tc>
      </w:tr>
      <w:tr w:rsidR="004761EA" w:rsidRPr="0032098C" w:rsidTr="00355A19">
        <w:trPr>
          <w:cantSplit/>
          <w:trHeight w:val="267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ind w:firstLine="24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Доля ветхого и аварийного жилья в жилищном фонде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0,25</w:t>
            </w:r>
          </w:p>
        </w:tc>
      </w:tr>
      <w:tr w:rsidR="004761EA" w:rsidRPr="0032098C" w:rsidTr="00355A19">
        <w:trPr>
          <w:cantSplit/>
          <w:trHeight w:val="240"/>
        </w:trPr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1EA" w:rsidRPr="0032098C" w:rsidRDefault="004761EA" w:rsidP="00355A19">
            <w:pPr>
              <w:widowControl/>
              <w:spacing w:line="23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2098C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</w:tr>
    </w:tbl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16.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16.1.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если муниципальным образованием по состоянию на 31</w:t>
      </w:r>
      <w:r w:rsidRPr="0032098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декабря года предоставления субсидии допущены нарушения обязательств, предусмотренных соглашением, и в срок до 01 марта года, следующего за годом предоставления субсидии, указанные нарушения не устранены, объем средств, соответствующий размеру субсидии на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капитальных вложений в объекты муниципальной собственности, по которым допущено нарушение, подлежит возврату в областной бюджет в срок до 01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апреля года, следующего за годом предоставления субсидии. 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16.2.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</w:t>
      </w:r>
      <w:proofErr w:type="spell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значений показателей результативности, предусмотренных пунктом 14 настоящей Методики, в срок до 01 марта объем средств, подлежащих возврату из местного бюджета в областной бюджет в срок до 01 апреля года, следующего за годом предоставления субсидии, рассчитывается в соответствии с пунктом 22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№ 93-п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утратившими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и частично утратившими силу отдельных постановлений Правительства области». 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16.3.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уменьшения сумм предоставляемых субсидий муниципальным образованиям области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Остаток не использованной в текущем финансовом году субсидии, 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на те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же цели в 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4761EA" w:rsidRPr="0032098C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17. Ответственность за целевое использование субсидии, а также за достоверность представляемых сведений возлагается на уполномоченные ОМСУ.</w:t>
      </w:r>
    </w:p>
    <w:p w:rsidR="004761EA" w:rsidRPr="005644DE" w:rsidRDefault="004761EA" w:rsidP="004761EA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18. </w:t>
      </w:r>
      <w:proofErr w:type="gramStart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3209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3446A0" w:rsidRDefault="003446A0"/>
    <w:sectPr w:rsidR="003446A0" w:rsidSect="009646F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FF" w:rsidRDefault="009646FF" w:rsidP="009646FF">
      <w:r>
        <w:separator/>
      </w:r>
    </w:p>
  </w:endnote>
  <w:endnote w:type="continuationSeparator" w:id="0">
    <w:p w:rsidR="009646FF" w:rsidRDefault="009646FF" w:rsidP="0096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FF" w:rsidRDefault="009646FF" w:rsidP="009646FF">
      <w:r>
        <w:separator/>
      </w:r>
    </w:p>
  </w:footnote>
  <w:footnote w:type="continuationSeparator" w:id="0">
    <w:p w:rsidR="009646FF" w:rsidRDefault="009646FF" w:rsidP="00964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952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46FF" w:rsidRPr="009646FF" w:rsidRDefault="009646F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46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646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46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0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646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46FF" w:rsidRDefault="009646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EA"/>
    <w:rsid w:val="003446A0"/>
    <w:rsid w:val="004761EA"/>
    <w:rsid w:val="008260C0"/>
    <w:rsid w:val="009646FF"/>
    <w:rsid w:val="00A13209"/>
    <w:rsid w:val="00BF5B59"/>
    <w:rsid w:val="00D1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761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6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6FF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9646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46FF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761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6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6FF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9646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46FF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3381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6</cp:revision>
  <dcterms:created xsi:type="dcterms:W3CDTF">2018-10-19T07:29:00Z</dcterms:created>
  <dcterms:modified xsi:type="dcterms:W3CDTF">2018-10-24T10:44:00Z</dcterms:modified>
</cp:coreProperties>
</file>