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C59" w:rsidRPr="00426DDD" w:rsidRDefault="00123C59" w:rsidP="00123C59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426DDD">
        <w:rPr>
          <w:b/>
          <w:bCs/>
          <w:szCs w:val="28"/>
        </w:rPr>
        <w:t>ПРОЕКТ</w:t>
      </w:r>
    </w:p>
    <w:p w:rsidR="00123C59" w:rsidRPr="00426DDD" w:rsidRDefault="00123C59" w:rsidP="00123C59">
      <w:pPr>
        <w:tabs>
          <w:tab w:val="left" w:pos="12049"/>
        </w:tabs>
        <w:jc w:val="center"/>
        <w:rPr>
          <w:b/>
          <w:bCs/>
          <w:szCs w:val="28"/>
        </w:rPr>
      </w:pPr>
    </w:p>
    <w:p w:rsidR="00123C59" w:rsidRPr="00426DDD" w:rsidRDefault="00123C59" w:rsidP="00123C59">
      <w:pPr>
        <w:widowControl w:val="0"/>
        <w:overflowPunct/>
        <w:adjustRightInd/>
        <w:jc w:val="center"/>
        <w:textAlignment w:val="auto"/>
        <w:rPr>
          <w:b/>
          <w:szCs w:val="28"/>
        </w:rPr>
      </w:pPr>
      <w:r w:rsidRPr="00426DDD">
        <w:rPr>
          <w:b/>
          <w:szCs w:val="28"/>
        </w:rPr>
        <w:t>ГОСУДАРСТВЕННАЯ ПРОГРАММА ЯРОСЛАВСКОЙ ОБЛАСТИ</w:t>
      </w:r>
    </w:p>
    <w:p w:rsidR="00123C59" w:rsidRPr="00426DDD" w:rsidRDefault="00123C59" w:rsidP="00D10240">
      <w:pPr>
        <w:widowControl w:val="0"/>
        <w:overflowPunct/>
        <w:adjustRightInd/>
        <w:jc w:val="center"/>
        <w:textAlignment w:val="auto"/>
        <w:rPr>
          <w:b/>
          <w:szCs w:val="28"/>
        </w:rPr>
      </w:pPr>
      <w:r w:rsidRPr="00426DDD">
        <w:rPr>
          <w:b/>
          <w:szCs w:val="28"/>
        </w:rPr>
        <w:t>«Обеспечение общественного порядка и противодействие преступности на территории Ярославской области» на 2021 – 2025 годы</w:t>
      </w:r>
    </w:p>
    <w:p w:rsidR="00123C59" w:rsidRPr="00426DDD" w:rsidRDefault="00123C59" w:rsidP="00123C59">
      <w:pPr>
        <w:widowControl w:val="0"/>
        <w:overflowPunct/>
        <w:adjustRightInd/>
        <w:jc w:val="both"/>
        <w:textAlignment w:val="auto"/>
        <w:rPr>
          <w:szCs w:val="28"/>
        </w:rPr>
      </w:pPr>
    </w:p>
    <w:p w:rsidR="00123C59" w:rsidRPr="00426DDD" w:rsidRDefault="00123C59" w:rsidP="00123C59">
      <w:pPr>
        <w:widowControl w:val="0"/>
        <w:overflowPunct/>
        <w:adjustRightInd/>
        <w:jc w:val="center"/>
        <w:textAlignment w:val="auto"/>
        <w:rPr>
          <w:szCs w:val="28"/>
        </w:rPr>
      </w:pPr>
      <w:r w:rsidRPr="00426DDD">
        <w:rPr>
          <w:szCs w:val="28"/>
        </w:rPr>
        <w:t xml:space="preserve">Паспорт </w:t>
      </w:r>
    </w:p>
    <w:p w:rsidR="00123C59" w:rsidRPr="00426DDD" w:rsidRDefault="00123C59" w:rsidP="00123C59">
      <w:pPr>
        <w:widowControl w:val="0"/>
        <w:overflowPunct/>
        <w:adjustRightInd/>
        <w:jc w:val="center"/>
        <w:textAlignment w:val="auto"/>
        <w:rPr>
          <w:szCs w:val="28"/>
        </w:rPr>
      </w:pPr>
      <w:r w:rsidRPr="00426DDD">
        <w:rPr>
          <w:szCs w:val="28"/>
        </w:rPr>
        <w:t xml:space="preserve">Государственной программы </w:t>
      </w:r>
    </w:p>
    <w:tbl>
      <w:tblPr>
        <w:tblStyle w:val="ab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123C59" w:rsidRPr="00426DDD" w:rsidTr="00F13F95">
        <w:tc>
          <w:tcPr>
            <w:tcW w:w="3969" w:type="dxa"/>
          </w:tcPr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7" w:type="dxa"/>
          </w:tcPr>
          <w:p w:rsidR="00123C59" w:rsidRPr="00426DDD" w:rsidRDefault="00123C59" w:rsidP="00B73FC3">
            <w:pPr>
              <w:tabs>
                <w:tab w:val="left" w:pos="5352"/>
              </w:tabs>
              <w:overflowPunct/>
              <w:autoSpaceDE/>
              <w:autoSpaceDN/>
              <w:adjustRightInd/>
              <w:spacing w:line="19" w:lineRule="atLeast"/>
              <w:contextualSpacing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департамент региональной б</w:t>
            </w:r>
            <w:r w:rsidR="00B73FC3" w:rsidRPr="00426DDD">
              <w:rPr>
                <w:szCs w:val="28"/>
              </w:rPr>
              <w:t>езопасности Ярославской области</w:t>
            </w:r>
            <w:r w:rsidRPr="00426DDD">
              <w:rPr>
                <w:szCs w:val="28"/>
              </w:rPr>
              <w:t xml:space="preserve">, </w:t>
            </w:r>
            <w:r w:rsidRPr="00426DDD">
              <w:rPr>
                <w:szCs w:val="28"/>
                <w:lang w:eastAsia="en-US"/>
              </w:rPr>
              <w:t xml:space="preserve">директор </w:t>
            </w:r>
            <w:r w:rsidR="00B73FC3" w:rsidRPr="00426DDD">
              <w:rPr>
                <w:szCs w:val="28"/>
                <w:lang w:eastAsia="en-US"/>
              </w:rPr>
              <w:t>департамента</w:t>
            </w:r>
            <w:r w:rsidRPr="00426DDD">
              <w:rPr>
                <w:szCs w:val="28"/>
                <w:lang w:eastAsia="en-US"/>
              </w:rPr>
              <w:t xml:space="preserve"> Соловьев Михаил Николаевич, тел. 40-04-18</w:t>
            </w:r>
          </w:p>
        </w:tc>
      </w:tr>
      <w:tr w:rsidR="00123C59" w:rsidRPr="00426DDD" w:rsidTr="00F13F95">
        <w:tc>
          <w:tcPr>
            <w:tcW w:w="3969" w:type="dxa"/>
          </w:tcPr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 xml:space="preserve">Куратор Государственной </w:t>
            </w:r>
            <w:r w:rsidRPr="00426DDD">
              <w:rPr>
                <w:szCs w:val="28"/>
              </w:rPr>
              <w:br/>
              <w:t>программы</w:t>
            </w:r>
          </w:p>
        </w:tc>
        <w:tc>
          <w:tcPr>
            <w:tcW w:w="5387" w:type="dxa"/>
          </w:tcPr>
          <w:p w:rsidR="00123C59" w:rsidRPr="00426DDD" w:rsidRDefault="00EB62B9" w:rsidP="00123C59">
            <w:pPr>
              <w:tabs>
                <w:tab w:val="left" w:pos="5352"/>
              </w:tabs>
              <w:overflowPunct/>
              <w:autoSpaceDE/>
              <w:autoSpaceDN/>
              <w:adjustRightInd/>
              <w:spacing w:line="19" w:lineRule="atLeast"/>
              <w:contextualSpacing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и</w:t>
            </w:r>
            <w:r w:rsidR="004F5988" w:rsidRPr="00426DDD">
              <w:rPr>
                <w:szCs w:val="28"/>
              </w:rPr>
              <w:t>.о. заместителя</w:t>
            </w:r>
            <w:r w:rsidR="00123C59" w:rsidRPr="00426DDD">
              <w:rPr>
                <w:szCs w:val="28"/>
              </w:rPr>
              <w:t xml:space="preserve"> Губернатора области 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jc w:val="both"/>
              <w:textAlignment w:val="auto"/>
              <w:rPr>
                <w:szCs w:val="28"/>
              </w:rPr>
            </w:pPr>
            <w:r w:rsidRPr="00426DDD">
              <w:rPr>
                <w:szCs w:val="28"/>
                <w:lang w:eastAsia="en-US"/>
              </w:rPr>
              <w:t>Шабалин Андрей Юрьевич</w:t>
            </w:r>
          </w:p>
        </w:tc>
      </w:tr>
      <w:tr w:rsidR="00123C59" w:rsidRPr="00426DDD" w:rsidTr="00F13F95">
        <w:tc>
          <w:tcPr>
            <w:tcW w:w="3969" w:type="dxa"/>
          </w:tcPr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387" w:type="dxa"/>
          </w:tcPr>
          <w:p w:rsidR="00123C59" w:rsidRPr="00426DDD" w:rsidRDefault="00073B6E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департамент региональной безопасности Ярославской области</w:t>
            </w:r>
            <w:r w:rsidR="00123C59" w:rsidRPr="00426DDD">
              <w:rPr>
                <w:rFonts w:eastAsia="Calibri"/>
                <w:szCs w:val="28"/>
                <w:lang w:eastAsia="en-US"/>
              </w:rPr>
              <w:t xml:space="preserve"> </w:t>
            </w:r>
          </w:p>
        </w:tc>
      </w:tr>
      <w:tr w:rsidR="00123C59" w:rsidRPr="00426DDD" w:rsidTr="00F13F95">
        <w:tc>
          <w:tcPr>
            <w:tcW w:w="3969" w:type="dxa"/>
          </w:tcPr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 xml:space="preserve">Сроки реализации </w:t>
            </w:r>
            <w:r w:rsidRPr="00426DDD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jc w:val="both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2021 – 2025 годы</w:t>
            </w:r>
          </w:p>
        </w:tc>
      </w:tr>
      <w:tr w:rsidR="00123C59" w:rsidRPr="00426DDD" w:rsidTr="00F13F95">
        <w:tc>
          <w:tcPr>
            <w:tcW w:w="3969" w:type="dxa"/>
          </w:tcPr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Цель (цели) Государственной программы</w:t>
            </w:r>
          </w:p>
        </w:tc>
        <w:tc>
          <w:tcPr>
            <w:tcW w:w="5387" w:type="dxa"/>
          </w:tcPr>
          <w:p w:rsidR="00123C59" w:rsidRPr="00426DDD" w:rsidRDefault="00123C59" w:rsidP="00123C59">
            <w:pPr>
              <w:widowControl w:val="0"/>
              <w:overflowPunct/>
              <w:adjustRightInd/>
              <w:spacing w:line="19" w:lineRule="atLeast"/>
              <w:contextualSpacing/>
              <w:jc w:val="both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 xml:space="preserve">- снижение общего уровня преступности; 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19" w:lineRule="atLeast"/>
              <w:contextualSpacing/>
              <w:jc w:val="both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 xml:space="preserve">- снижение уровня наркопотребления на территории Ярославской области; 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jc w:val="both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- повышение безопасности дорожного движения</w:t>
            </w:r>
          </w:p>
        </w:tc>
      </w:tr>
      <w:tr w:rsidR="00123C59" w:rsidRPr="00426DDD" w:rsidTr="00F13F95">
        <w:tc>
          <w:tcPr>
            <w:tcW w:w="3969" w:type="dxa"/>
          </w:tcPr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 xml:space="preserve">Перечень подпрограмм </w:t>
            </w:r>
            <w:r w:rsidRPr="00426DDD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jc w:val="both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 xml:space="preserve">- подпрограмма «Профилактика правонарушений в Ярославской области»; 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jc w:val="both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- подпрограмма «Комплексные меры противодействия злоупотреблению наркотиками и их незаконному обороту»;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jc w:val="both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- региональная целевая программа «Повышение безопасности дорожного движения в Ярославской области»</w:t>
            </w:r>
          </w:p>
        </w:tc>
      </w:tr>
      <w:tr w:rsidR="00123C59" w:rsidRPr="00426DDD" w:rsidTr="00F13F95">
        <w:tc>
          <w:tcPr>
            <w:tcW w:w="3969" w:type="dxa"/>
          </w:tcPr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387" w:type="dxa"/>
          </w:tcPr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всего по Государственной программе</w:t>
            </w:r>
          </w:p>
          <w:p w:rsidR="0027199E" w:rsidRPr="00426DDD" w:rsidRDefault="00194B06" w:rsidP="00123C59">
            <w:pPr>
              <w:spacing w:line="19" w:lineRule="atLeast"/>
              <w:contextualSpacing/>
              <w:rPr>
                <w:szCs w:val="28"/>
              </w:rPr>
            </w:pPr>
            <w:r w:rsidRPr="00426DDD">
              <w:rPr>
                <w:szCs w:val="28"/>
              </w:rPr>
              <w:t>29,52</w:t>
            </w:r>
            <w:r w:rsidR="00123C59" w:rsidRPr="00426DDD">
              <w:rPr>
                <w:szCs w:val="28"/>
              </w:rPr>
              <w:t xml:space="preserve"> млн. руб., из них</w:t>
            </w:r>
            <w:r w:rsidR="0027199E" w:rsidRPr="00426DDD">
              <w:rPr>
                <w:szCs w:val="28"/>
              </w:rPr>
              <w:t>:</w:t>
            </w:r>
          </w:p>
          <w:p w:rsidR="00123C59" w:rsidRPr="00426DDD" w:rsidRDefault="0027199E" w:rsidP="00123C59">
            <w:pPr>
              <w:spacing w:line="19" w:lineRule="atLeast"/>
              <w:contextualSpacing/>
              <w:rPr>
                <w:szCs w:val="28"/>
              </w:rPr>
            </w:pPr>
            <w:r w:rsidRPr="00426DDD">
              <w:rPr>
                <w:szCs w:val="28"/>
              </w:rPr>
              <w:t xml:space="preserve">- </w:t>
            </w:r>
            <w:r w:rsidR="00123C59" w:rsidRPr="00426DDD">
              <w:rPr>
                <w:szCs w:val="28"/>
              </w:rPr>
              <w:t xml:space="preserve">областные средства: 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19" w:lineRule="atLeast"/>
              <w:contextualSpacing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2021 год – 7,04 млн. руб.;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19" w:lineRule="atLeast"/>
              <w:contextualSpacing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 xml:space="preserve">2022 год – </w:t>
            </w:r>
            <w:r w:rsidR="00EC16F2" w:rsidRPr="00426DDD">
              <w:rPr>
                <w:szCs w:val="28"/>
              </w:rPr>
              <w:t>6,96</w:t>
            </w:r>
            <w:r w:rsidRPr="00426DDD">
              <w:rPr>
                <w:szCs w:val="28"/>
              </w:rPr>
              <w:t xml:space="preserve"> млн. руб.;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19" w:lineRule="atLeast"/>
              <w:contextualSpacing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2023 год – 5,95 млн. руб.;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19" w:lineRule="atLeast"/>
              <w:contextualSpacing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 xml:space="preserve">2024 год – </w:t>
            </w:r>
            <w:r w:rsidR="00EC16F2" w:rsidRPr="00426DDD">
              <w:rPr>
                <w:szCs w:val="28"/>
              </w:rPr>
              <w:t>5,95</w:t>
            </w:r>
            <w:r w:rsidRPr="00426DDD">
              <w:rPr>
                <w:szCs w:val="28"/>
              </w:rPr>
              <w:t xml:space="preserve"> млн. руб.;</w:t>
            </w:r>
          </w:p>
          <w:p w:rsidR="00123C59" w:rsidRPr="00426DDD" w:rsidRDefault="00123C59" w:rsidP="00C774FF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2025 год – 3,6</w:t>
            </w:r>
            <w:r w:rsidR="00C774FF" w:rsidRPr="00426DDD">
              <w:rPr>
                <w:szCs w:val="28"/>
              </w:rPr>
              <w:t>2</w:t>
            </w:r>
            <w:r w:rsidRPr="00426DDD">
              <w:rPr>
                <w:szCs w:val="28"/>
              </w:rPr>
              <w:t xml:space="preserve"> млн. руб.</w:t>
            </w:r>
          </w:p>
        </w:tc>
      </w:tr>
      <w:tr w:rsidR="00123C59" w:rsidRPr="00426DDD" w:rsidTr="00F13F95">
        <w:tc>
          <w:tcPr>
            <w:tcW w:w="3969" w:type="dxa"/>
          </w:tcPr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 xml:space="preserve">Плановые объемы </w:t>
            </w:r>
            <w:r w:rsidRPr="00426DDD">
              <w:rPr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387" w:type="dxa"/>
          </w:tcPr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- подпрограмма «Комплексные меры противодействия злоупотреблению наркотиками и их незаконному обороту»: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всего 2,</w:t>
            </w:r>
            <w:r w:rsidR="00C774FF" w:rsidRPr="00426DDD">
              <w:rPr>
                <w:szCs w:val="28"/>
              </w:rPr>
              <w:t>35</w:t>
            </w:r>
            <w:r w:rsidRPr="00426DDD">
              <w:rPr>
                <w:szCs w:val="28"/>
              </w:rPr>
              <w:t xml:space="preserve"> млн. руб., из них: 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2021 год – 0,83 млн. руб.;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lastRenderedPageBreak/>
              <w:t>2022 год – 0,</w:t>
            </w:r>
            <w:r w:rsidR="00114AF7" w:rsidRPr="00426DDD">
              <w:rPr>
                <w:szCs w:val="28"/>
              </w:rPr>
              <w:t>62</w:t>
            </w:r>
            <w:r w:rsidRPr="00426DDD">
              <w:rPr>
                <w:szCs w:val="28"/>
              </w:rPr>
              <w:t xml:space="preserve"> млн. руб.;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2023 год – 0,3 млн. руб.;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2024 год – 0,3 млн. руб.;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2025 год – 0,3 млн. руб.;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 xml:space="preserve">- подпрограмма «Профилактика правонарушений в Ярославской области»: 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всего 17,</w:t>
            </w:r>
            <w:r w:rsidR="00252850" w:rsidRPr="00426DDD">
              <w:rPr>
                <w:szCs w:val="28"/>
              </w:rPr>
              <w:t>98</w:t>
            </w:r>
            <w:r w:rsidRPr="00426DDD">
              <w:rPr>
                <w:szCs w:val="28"/>
              </w:rPr>
              <w:t xml:space="preserve"> млн. руб., из них: 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2021 год – 4,16</w:t>
            </w:r>
            <w:r w:rsidR="0057121C" w:rsidRPr="00426DDD">
              <w:rPr>
                <w:szCs w:val="28"/>
              </w:rPr>
              <w:t xml:space="preserve"> </w:t>
            </w:r>
            <w:r w:rsidRPr="00426DDD">
              <w:rPr>
                <w:szCs w:val="28"/>
              </w:rPr>
              <w:t>млн. руб.;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2022 год – 3,</w:t>
            </w:r>
            <w:r w:rsidR="0057121C" w:rsidRPr="00426DDD">
              <w:rPr>
                <w:szCs w:val="28"/>
              </w:rPr>
              <w:t>86</w:t>
            </w:r>
            <w:r w:rsidRPr="00426DDD">
              <w:rPr>
                <w:szCs w:val="28"/>
              </w:rPr>
              <w:t xml:space="preserve"> млн. руб.;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2023 год – 3,32 млн. руб.;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2024 год – 3,32 млн. руб.;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2025 год – 3,32 млн. руб.;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- региональная целевая программа «Повышение безопасности дорожного движения в Ярославской области»: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 xml:space="preserve">всего </w:t>
            </w:r>
            <w:r w:rsidR="007E54E1" w:rsidRPr="00426DDD">
              <w:rPr>
                <w:szCs w:val="28"/>
              </w:rPr>
              <w:t>9,19</w:t>
            </w:r>
            <w:r w:rsidR="00196F4D" w:rsidRPr="00426DDD">
              <w:rPr>
                <w:szCs w:val="28"/>
              </w:rPr>
              <w:t xml:space="preserve"> млн. руб.</w:t>
            </w:r>
            <w:r w:rsidRPr="00426DDD">
              <w:rPr>
                <w:szCs w:val="28"/>
              </w:rPr>
              <w:t>, из них: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2021 год – 2,05 млн. руб.;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2022 год – 2,</w:t>
            </w:r>
            <w:r w:rsidR="00B1144E" w:rsidRPr="00426DDD">
              <w:rPr>
                <w:szCs w:val="28"/>
              </w:rPr>
              <w:t>48</w:t>
            </w:r>
            <w:r w:rsidRPr="00426DDD">
              <w:rPr>
                <w:szCs w:val="28"/>
              </w:rPr>
              <w:t xml:space="preserve"> млн. руб.;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2023 год – 2,3</w:t>
            </w:r>
            <w:r w:rsidR="002175BF" w:rsidRPr="00426DDD">
              <w:rPr>
                <w:szCs w:val="28"/>
              </w:rPr>
              <w:t>3</w:t>
            </w:r>
            <w:r w:rsidRPr="00426DDD">
              <w:rPr>
                <w:szCs w:val="28"/>
              </w:rPr>
              <w:t xml:space="preserve"> млн. руб.;</w:t>
            </w:r>
          </w:p>
          <w:p w:rsidR="00123C59" w:rsidRPr="00426DDD" w:rsidRDefault="00123C59" w:rsidP="002175BF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 xml:space="preserve">2024 год – </w:t>
            </w:r>
            <w:r w:rsidR="002175BF" w:rsidRPr="00426DDD">
              <w:rPr>
                <w:szCs w:val="28"/>
              </w:rPr>
              <w:t>2,33</w:t>
            </w:r>
            <w:r w:rsidRPr="00426DDD">
              <w:rPr>
                <w:szCs w:val="28"/>
              </w:rPr>
              <w:t xml:space="preserve"> млн. руб.</w:t>
            </w:r>
          </w:p>
        </w:tc>
      </w:tr>
      <w:tr w:rsidR="00123C59" w:rsidRPr="00426DDD" w:rsidTr="00F13F95">
        <w:tc>
          <w:tcPr>
            <w:tcW w:w="3969" w:type="dxa"/>
          </w:tcPr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lastRenderedPageBreak/>
              <w:t xml:space="preserve">Конечные результаты </w:t>
            </w:r>
            <w:r w:rsidRPr="00426DDD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- снижение социального риска до 28,6 процента;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- снижение уровня первичной заболеваемости наркоманией до 6,61 случая на 100 тыс. населения;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- снижение уровня зарегистрированных преступлений до 97 процентов</w:t>
            </w:r>
          </w:p>
        </w:tc>
      </w:tr>
      <w:tr w:rsidR="00123C59" w:rsidRPr="00426DDD" w:rsidTr="00F13F95">
        <w:tc>
          <w:tcPr>
            <w:tcW w:w="3969" w:type="dxa"/>
          </w:tcPr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387" w:type="dxa"/>
          </w:tcPr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http://www.yarregion.ru/depts/drb/tmpPages/</w:t>
            </w:r>
          </w:p>
          <w:p w:rsidR="00123C59" w:rsidRPr="00426DDD" w:rsidRDefault="00123C59" w:rsidP="00123C59">
            <w:pPr>
              <w:widowControl w:val="0"/>
              <w:overflowPunct/>
              <w:adjustRightInd/>
              <w:spacing w:line="235" w:lineRule="auto"/>
              <w:textAlignment w:val="auto"/>
              <w:rPr>
                <w:szCs w:val="28"/>
              </w:rPr>
            </w:pPr>
            <w:r w:rsidRPr="00426DDD">
              <w:rPr>
                <w:szCs w:val="28"/>
              </w:rPr>
              <w:t>programs.aspx</w:t>
            </w:r>
          </w:p>
        </w:tc>
      </w:tr>
    </w:tbl>
    <w:p w:rsidR="000E05AD" w:rsidRPr="00123C59" w:rsidRDefault="000E05AD" w:rsidP="007B5697">
      <w:pPr>
        <w:overflowPunct/>
        <w:autoSpaceDE/>
        <w:autoSpaceDN/>
        <w:adjustRightInd/>
        <w:spacing w:line="19" w:lineRule="atLeast"/>
        <w:ind w:firstLine="709"/>
        <w:contextualSpacing/>
        <w:jc w:val="both"/>
        <w:textAlignment w:val="auto"/>
        <w:rPr>
          <w:sz w:val="24"/>
          <w:szCs w:val="24"/>
        </w:rPr>
      </w:pPr>
    </w:p>
    <w:sectPr w:rsidR="000E05AD" w:rsidRPr="00123C59" w:rsidSect="008C78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D79" w:rsidRDefault="007C7D79">
      <w:r>
        <w:separator/>
      </w:r>
    </w:p>
  </w:endnote>
  <w:endnote w:type="continuationSeparator" w:id="0">
    <w:p w:rsidR="007C7D79" w:rsidRDefault="007C7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97A" w:rsidRDefault="004F397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415E09" w:rsidRDefault="00352147" w:rsidP="00415E0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415E09" w:rsidRDefault="005F7339" w:rsidP="00415E0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D79" w:rsidRDefault="007C7D79">
      <w:r>
        <w:separator/>
      </w:r>
    </w:p>
  </w:footnote>
  <w:footnote w:type="continuationSeparator" w:id="0">
    <w:p w:rsidR="007C7D79" w:rsidRDefault="007C7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0F8" w:rsidRDefault="00B970F8" w:rsidP="00B970F8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B970F8" w:rsidRDefault="00495A7F" w:rsidP="00B970F8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B970F8">
      <w:rPr>
        <w:rStyle w:val="a6"/>
        <w:sz w:val="24"/>
      </w:rPr>
      <w:fldChar w:fldCharType="begin"/>
    </w:r>
    <w:r w:rsidR="00D7160D" w:rsidRPr="00B970F8">
      <w:rPr>
        <w:rStyle w:val="a6"/>
        <w:sz w:val="24"/>
      </w:rPr>
      <w:instrText xml:space="preserve">PAGE  </w:instrText>
    </w:r>
    <w:r w:rsidRPr="00B970F8">
      <w:rPr>
        <w:rStyle w:val="a6"/>
        <w:sz w:val="24"/>
      </w:rPr>
      <w:fldChar w:fldCharType="separate"/>
    </w:r>
    <w:r w:rsidR="00A567F9">
      <w:rPr>
        <w:rStyle w:val="a6"/>
        <w:noProof/>
        <w:sz w:val="24"/>
      </w:rPr>
      <w:t>2</w:t>
    </w:r>
    <w:r w:rsidRPr="00B970F8">
      <w:rPr>
        <w:rStyle w:val="a6"/>
        <w:sz w:val="24"/>
      </w:rPr>
      <w:fldChar w:fldCharType="end"/>
    </w:r>
  </w:p>
  <w:p w:rsidR="00D7160D" w:rsidRDefault="00D7160D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C116A4">
    <w:pPr>
      <w:pStyle w:val="a5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0D46"/>
    <w:rsid w:val="000044B7"/>
    <w:rsid w:val="000134B2"/>
    <w:rsid w:val="0001445B"/>
    <w:rsid w:val="00014F79"/>
    <w:rsid w:val="00016DB0"/>
    <w:rsid w:val="00020697"/>
    <w:rsid w:val="00033AF8"/>
    <w:rsid w:val="000401E9"/>
    <w:rsid w:val="0005079F"/>
    <w:rsid w:val="00051078"/>
    <w:rsid w:val="00057B1B"/>
    <w:rsid w:val="000663B2"/>
    <w:rsid w:val="00073B6E"/>
    <w:rsid w:val="00074B60"/>
    <w:rsid w:val="000820B7"/>
    <w:rsid w:val="00082B8D"/>
    <w:rsid w:val="00085CE8"/>
    <w:rsid w:val="00095DA7"/>
    <w:rsid w:val="000C4C30"/>
    <w:rsid w:val="000E05AD"/>
    <w:rsid w:val="000E3D8C"/>
    <w:rsid w:val="000E509C"/>
    <w:rsid w:val="000F2FD7"/>
    <w:rsid w:val="00102136"/>
    <w:rsid w:val="00114AF7"/>
    <w:rsid w:val="001161FD"/>
    <w:rsid w:val="00123C59"/>
    <w:rsid w:val="001412D6"/>
    <w:rsid w:val="00143CA1"/>
    <w:rsid w:val="00143E74"/>
    <w:rsid w:val="00166D24"/>
    <w:rsid w:val="00175F02"/>
    <w:rsid w:val="00180475"/>
    <w:rsid w:val="001827CE"/>
    <w:rsid w:val="00192D6D"/>
    <w:rsid w:val="00194B06"/>
    <w:rsid w:val="00196F4D"/>
    <w:rsid w:val="001D7C14"/>
    <w:rsid w:val="001E0E71"/>
    <w:rsid w:val="001F14D1"/>
    <w:rsid w:val="001F1F55"/>
    <w:rsid w:val="001F7017"/>
    <w:rsid w:val="00210AE7"/>
    <w:rsid w:val="002175BF"/>
    <w:rsid w:val="0022272F"/>
    <w:rsid w:val="002321FE"/>
    <w:rsid w:val="002326E3"/>
    <w:rsid w:val="00247871"/>
    <w:rsid w:val="00247B75"/>
    <w:rsid w:val="00252850"/>
    <w:rsid w:val="00267EF0"/>
    <w:rsid w:val="0027199E"/>
    <w:rsid w:val="00282F59"/>
    <w:rsid w:val="0028500D"/>
    <w:rsid w:val="0029507F"/>
    <w:rsid w:val="002B2E38"/>
    <w:rsid w:val="002E2A8F"/>
    <w:rsid w:val="002E71DD"/>
    <w:rsid w:val="00311956"/>
    <w:rsid w:val="0032234F"/>
    <w:rsid w:val="00324D6A"/>
    <w:rsid w:val="00352147"/>
    <w:rsid w:val="0035432A"/>
    <w:rsid w:val="0035489C"/>
    <w:rsid w:val="00360FDC"/>
    <w:rsid w:val="003635ED"/>
    <w:rsid w:val="00370EC0"/>
    <w:rsid w:val="00376845"/>
    <w:rsid w:val="003773FA"/>
    <w:rsid w:val="003842C0"/>
    <w:rsid w:val="003B6922"/>
    <w:rsid w:val="003C0137"/>
    <w:rsid w:val="003C447A"/>
    <w:rsid w:val="003E22CA"/>
    <w:rsid w:val="003E34C5"/>
    <w:rsid w:val="003E39DD"/>
    <w:rsid w:val="003F158E"/>
    <w:rsid w:val="003F6ACD"/>
    <w:rsid w:val="00413EAE"/>
    <w:rsid w:val="00415E09"/>
    <w:rsid w:val="00426DDD"/>
    <w:rsid w:val="00440606"/>
    <w:rsid w:val="00442A6F"/>
    <w:rsid w:val="0045667C"/>
    <w:rsid w:val="00456E9A"/>
    <w:rsid w:val="00470E16"/>
    <w:rsid w:val="00480CE2"/>
    <w:rsid w:val="00484214"/>
    <w:rsid w:val="004849D2"/>
    <w:rsid w:val="00495A7F"/>
    <w:rsid w:val="00496194"/>
    <w:rsid w:val="004A0D47"/>
    <w:rsid w:val="004B513D"/>
    <w:rsid w:val="004F0BA6"/>
    <w:rsid w:val="004F397A"/>
    <w:rsid w:val="004F5847"/>
    <w:rsid w:val="004F5988"/>
    <w:rsid w:val="004F5FCE"/>
    <w:rsid w:val="005153A9"/>
    <w:rsid w:val="00516303"/>
    <w:rsid w:val="00517029"/>
    <w:rsid w:val="00523688"/>
    <w:rsid w:val="005448B5"/>
    <w:rsid w:val="0054522B"/>
    <w:rsid w:val="005507A1"/>
    <w:rsid w:val="0056426B"/>
    <w:rsid w:val="00565617"/>
    <w:rsid w:val="005674E6"/>
    <w:rsid w:val="0057121C"/>
    <w:rsid w:val="005740BC"/>
    <w:rsid w:val="005769CF"/>
    <w:rsid w:val="0058529C"/>
    <w:rsid w:val="005936EB"/>
    <w:rsid w:val="005A376F"/>
    <w:rsid w:val="005A7282"/>
    <w:rsid w:val="005C0C03"/>
    <w:rsid w:val="005C3BA8"/>
    <w:rsid w:val="005C4D12"/>
    <w:rsid w:val="005D1AA0"/>
    <w:rsid w:val="005D3E47"/>
    <w:rsid w:val="005E719A"/>
    <w:rsid w:val="005F7339"/>
    <w:rsid w:val="0061137B"/>
    <w:rsid w:val="00616DFE"/>
    <w:rsid w:val="00616E1B"/>
    <w:rsid w:val="00617DDD"/>
    <w:rsid w:val="006342D8"/>
    <w:rsid w:val="00643CED"/>
    <w:rsid w:val="0069635A"/>
    <w:rsid w:val="006A0365"/>
    <w:rsid w:val="006A6B12"/>
    <w:rsid w:val="006C3294"/>
    <w:rsid w:val="006E2583"/>
    <w:rsid w:val="006E7AFF"/>
    <w:rsid w:val="006F5BE1"/>
    <w:rsid w:val="00756745"/>
    <w:rsid w:val="00761EB2"/>
    <w:rsid w:val="00772602"/>
    <w:rsid w:val="00791794"/>
    <w:rsid w:val="007A008E"/>
    <w:rsid w:val="007A6943"/>
    <w:rsid w:val="007A6E55"/>
    <w:rsid w:val="007B1A06"/>
    <w:rsid w:val="007B3F54"/>
    <w:rsid w:val="007B5697"/>
    <w:rsid w:val="007C7D79"/>
    <w:rsid w:val="007D39B3"/>
    <w:rsid w:val="007D77DC"/>
    <w:rsid w:val="007E54E1"/>
    <w:rsid w:val="007F45D8"/>
    <w:rsid w:val="007F5A97"/>
    <w:rsid w:val="007F75AC"/>
    <w:rsid w:val="008225B3"/>
    <w:rsid w:val="00824D97"/>
    <w:rsid w:val="008423CF"/>
    <w:rsid w:val="00844F21"/>
    <w:rsid w:val="0084708D"/>
    <w:rsid w:val="00865E19"/>
    <w:rsid w:val="00881CD8"/>
    <w:rsid w:val="008823A1"/>
    <w:rsid w:val="0089152B"/>
    <w:rsid w:val="008A5169"/>
    <w:rsid w:val="008A573F"/>
    <w:rsid w:val="008B50A1"/>
    <w:rsid w:val="008C09D2"/>
    <w:rsid w:val="008C2451"/>
    <w:rsid w:val="008C4D18"/>
    <w:rsid w:val="008C4FF6"/>
    <w:rsid w:val="008C6B60"/>
    <w:rsid w:val="008C78F8"/>
    <w:rsid w:val="008E1E2B"/>
    <w:rsid w:val="008E2E14"/>
    <w:rsid w:val="008F6CA4"/>
    <w:rsid w:val="00901F12"/>
    <w:rsid w:val="00905485"/>
    <w:rsid w:val="00906205"/>
    <w:rsid w:val="00910348"/>
    <w:rsid w:val="00910985"/>
    <w:rsid w:val="0091505A"/>
    <w:rsid w:val="009152F6"/>
    <w:rsid w:val="00923AD6"/>
    <w:rsid w:val="00945529"/>
    <w:rsid w:val="00960C96"/>
    <w:rsid w:val="00963C4B"/>
    <w:rsid w:val="00974374"/>
    <w:rsid w:val="0097763B"/>
    <w:rsid w:val="009825DE"/>
    <w:rsid w:val="00993988"/>
    <w:rsid w:val="009949AE"/>
    <w:rsid w:val="009B7426"/>
    <w:rsid w:val="009B79F9"/>
    <w:rsid w:val="009C79EE"/>
    <w:rsid w:val="00A02A1D"/>
    <w:rsid w:val="00A15298"/>
    <w:rsid w:val="00A2387A"/>
    <w:rsid w:val="00A3171A"/>
    <w:rsid w:val="00A32EDE"/>
    <w:rsid w:val="00A33B5F"/>
    <w:rsid w:val="00A419C8"/>
    <w:rsid w:val="00A55D70"/>
    <w:rsid w:val="00A567F9"/>
    <w:rsid w:val="00A7501C"/>
    <w:rsid w:val="00A820B0"/>
    <w:rsid w:val="00A8581C"/>
    <w:rsid w:val="00A92E6B"/>
    <w:rsid w:val="00AA04EA"/>
    <w:rsid w:val="00AA41A4"/>
    <w:rsid w:val="00AA6761"/>
    <w:rsid w:val="00AB3C32"/>
    <w:rsid w:val="00AB4770"/>
    <w:rsid w:val="00AC3A45"/>
    <w:rsid w:val="00AC51DE"/>
    <w:rsid w:val="00AC7169"/>
    <w:rsid w:val="00AD42F9"/>
    <w:rsid w:val="00AD734F"/>
    <w:rsid w:val="00AF025D"/>
    <w:rsid w:val="00AF7478"/>
    <w:rsid w:val="00B1144E"/>
    <w:rsid w:val="00B179A6"/>
    <w:rsid w:val="00B268B9"/>
    <w:rsid w:val="00B26AAD"/>
    <w:rsid w:val="00B26C09"/>
    <w:rsid w:val="00B3710A"/>
    <w:rsid w:val="00B5176A"/>
    <w:rsid w:val="00B51F7E"/>
    <w:rsid w:val="00B526D3"/>
    <w:rsid w:val="00B71884"/>
    <w:rsid w:val="00B73FC3"/>
    <w:rsid w:val="00B81801"/>
    <w:rsid w:val="00B970F8"/>
    <w:rsid w:val="00BA52D1"/>
    <w:rsid w:val="00BA5972"/>
    <w:rsid w:val="00BA6922"/>
    <w:rsid w:val="00BB2221"/>
    <w:rsid w:val="00BB69E8"/>
    <w:rsid w:val="00BC1EE9"/>
    <w:rsid w:val="00BC5B33"/>
    <w:rsid w:val="00BD0BFE"/>
    <w:rsid w:val="00BF4148"/>
    <w:rsid w:val="00C116A4"/>
    <w:rsid w:val="00C3328E"/>
    <w:rsid w:val="00C5025A"/>
    <w:rsid w:val="00C5140E"/>
    <w:rsid w:val="00C516AF"/>
    <w:rsid w:val="00C619EB"/>
    <w:rsid w:val="00C771DC"/>
    <w:rsid w:val="00C774FF"/>
    <w:rsid w:val="00C978BE"/>
    <w:rsid w:val="00CA2144"/>
    <w:rsid w:val="00CA2B1F"/>
    <w:rsid w:val="00CD430D"/>
    <w:rsid w:val="00CE1CDA"/>
    <w:rsid w:val="00CE5D65"/>
    <w:rsid w:val="00CF659C"/>
    <w:rsid w:val="00CF7925"/>
    <w:rsid w:val="00D00240"/>
    <w:rsid w:val="00D10240"/>
    <w:rsid w:val="00D1225F"/>
    <w:rsid w:val="00D21EA1"/>
    <w:rsid w:val="00D259A6"/>
    <w:rsid w:val="00D42F9E"/>
    <w:rsid w:val="00D60077"/>
    <w:rsid w:val="00D7160D"/>
    <w:rsid w:val="00D75B00"/>
    <w:rsid w:val="00D85E62"/>
    <w:rsid w:val="00D871C5"/>
    <w:rsid w:val="00D87611"/>
    <w:rsid w:val="00D93657"/>
    <w:rsid w:val="00D93F47"/>
    <w:rsid w:val="00D941E8"/>
    <w:rsid w:val="00DB57BB"/>
    <w:rsid w:val="00DE1C2A"/>
    <w:rsid w:val="00E23E8E"/>
    <w:rsid w:val="00E24CE3"/>
    <w:rsid w:val="00E55F5E"/>
    <w:rsid w:val="00E61C21"/>
    <w:rsid w:val="00E66481"/>
    <w:rsid w:val="00E67B15"/>
    <w:rsid w:val="00E76E67"/>
    <w:rsid w:val="00E9164F"/>
    <w:rsid w:val="00EA11FE"/>
    <w:rsid w:val="00EA27FF"/>
    <w:rsid w:val="00EB0237"/>
    <w:rsid w:val="00EB1B67"/>
    <w:rsid w:val="00EB3469"/>
    <w:rsid w:val="00EB5250"/>
    <w:rsid w:val="00EB62B9"/>
    <w:rsid w:val="00EC16F2"/>
    <w:rsid w:val="00EC2B3A"/>
    <w:rsid w:val="00EC65BD"/>
    <w:rsid w:val="00ED7F0D"/>
    <w:rsid w:val="00EF6631"/>
    <w:rsid w:val="00F24E07"/>
    <w:rsid w:val="00F31F38"/>
    <w:rsid w:val="00F431FB"/>
    <w:rsid w:val="00F60984"/>
    <w:rsid w:val="00F629F1"/>
    <w:rsid w:val="00F70F16"/>
    <w:rsid w:val="00F711AA"/>
    <w:rsid w:val="00F714BC"/>
    <w:rsid w:val="00F81637"/>
    <w:rsid w:val="00F857B0"/>
    <w:rsid w:val="00F93CAA"/>
    <w:rsid w:val="00F96592"/>
    <w:rsid w:val="00FA543D"/>
    <w:rsid w:val="00FA5911"/>
    <w:rsid w:val="00FB6CA2"/>
    <w:rsid w:val="00FC6F70"/>
    <w:rsid w:val="00FD00FD"/>
    <w:rsid w:val="00FD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5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BB2221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">
    <w:name w:val="itemtext"/>
    <w:basedOn w:val="a0"/>
    <w:rsid w:val="008C6B60"/>
  </w:style>
  <w:style w:type="table" w:styleId="ab">
    <w:name w:val="Table Grid"/>
    <w:basedOn w:val="a1"/>
    <w:uiPriority w:val="59"/>
    <w:rsid w:val="001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1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5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BB2221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">
    <w:name w:val="itemtext"/>
    <w:basedOn w:val="a0"/>
    <w:rsid w:val="008C6B60"/>
  </w:style>
  <w:style w:type="table" w:styleId="ab">
    <w:name w:val="Table Grid"/>
    <w:basedOn w:val="a1"/>
    <w:uiPriority w:val="59"/>
    <w:rsid w:val="001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1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2</Pages>
  <Words>332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Company>Правительство ЯО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Исаева Наталья Васильевна</dc:creator>
  <cp:lastModifiedBy>Молчанова Ольга Петровна</cp:lastModifiedBy>
  <cp:revision>2</cp:revision>
  <cp:lastPrinted>2021-10-22T13:56:00Z</cp:lastPrinted>
  <dcterms:created xsi:type="dcterms:W3CDTF">2021-11-01T09:43:00Z</dcterms:created>
  <dcterms:modified xsi:type="dcterms:W3CDTF">2021-11-01T09:43:00Z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М.Н. Соловьев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+7 (4852) 78-57-43</vt:lpwstr>
  </property>
  <property fmtid="{D5CDD505-2E9C-101B-9397-08002B2CF9AE}" pid="7" name="Заголовок">
    <vt:lpwstr>О направлении информации</vt:lpwstr>
  </property>
  <property fmtid="{D5CDD505-2E9C-101B-9397-08002B2CF9AE}" pid="8" name="На №">
    <vt:lpwstr>ИХ.45-1141/21</vt:lpwstr>
  </property>
  <property fmtid="{D5CDD505-2E9C-101B-9397-08002B2CF9AE}" pid="9" name="от">
    <vt:lpwstr>22.09.2021</vt:lpwstr>
  </property>
  <property fmtid="{D5CDD505-2E9C-101B-9397-08002B2CF9AE}" pid="10" name="Р*Исполнитель...*Фамилия И.О.">
    <vt:lpwstr>Алексеева Ольга Ивановна</vt:lpwstr>
  </property>
  <property fmtid="{D5CDD505-2E9C-101B-9397-08002B2CF9AE}" pid="11" name="Номер версии">
    <vt:lpwstr>1</vt:lpwstr>
  </property>
  <property fmtid="{D5CDD505-2E9C-101B-9397-08002B2CF9AE}" pid="12" name="ИД">
    <vt:lpwstr>16730816</vt:lpwstr>
  </property>
  <property fmtid="{D5CDD505-2E9C-101B-9397-08002B2CF9AE}" pid="13" name="INSTALL_ID">
    <vt:lpwstr>34115</vt:lpwstr>
  </property>
</Properties>
</file>